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4DF7" w14:textId="77777777" w:rsidR="00B40BE6" w:rsidRPr="00CD5B3D" w:rsidRDefault="00B40BE6" w:rsidP="00B40BE6">
      <w:pPr>
        <w:snapToGrid w:val="0"/>
        <w:jc w:val="center"/>
        <w:rPr>
          <w:rFonts w:ascii="標楷體" w:eastAsia="標楷體" w:hAnsi="標楷體" w:hint="eastAsia"/>
          <w:b/>
          <w:sz w:val="36"/>
          <w:szCs w:val="36"/>
        </w:rPr>
      </w:pPr>
      <w:r w:rsidRPr="00CD5B3D">
        <w:rPr>
          <w:rFonts w:ascii="標楷體" w:eastAsia="標楷體" w:hAnsi="標楷體" w:hint="eastAsia"/>
          <w:b/>
          <w:sz w:val="36"/>
          <w:szCs w:val="36"/>
        </w:rPr>
        <w:t>國立雲林科技大學技術及職業教育研究所</w:t>
      </w:r>
    </w:p>
    <w:p w14:paraId="04EED9CC" w14:textId="77777777" w:rsidR="00B40BE6" w:rsidRPr="00CD5B3D" w:rsidRDefault="00B40BE6" w:rsidP="00B40BE6">
      <w:pPr>
        <w:snapToGrid w:val="0"/>
        <w:jc w:val="center"/>
        <w:rPr>
          <w:rFonts w:ascii="標楷體" w:eastAsia="標楷體" w:hAnsi="標楷體" w:hint="eastAsia"/>
          <w:sz w:val="36"/>
          <w:szCs w:val="36"/>
        </w:rPr>
      </w:pPr>
      <w:r w:rsidRPr="00CD5B3D">
        <w:rPr>
          <w:rFonts w:ascii="標楷體" w:eastAsia="標楷體" w:hAnsi="標楷體" w:hint="eastAsia"/>
          <w:b/>
          <w:sz w:val="36"/>
          <w:szCs w:val="36"/>
        </w:rPr>
        <w:t>博士生資格考試施行細則</w:t>
      </w:r>
    </w:p>
    <w:p w14:paraId="5A260B26" w14:textId="77777777" w:rsidR="00B40BE6" w:rsidRPr="00CD5B3D" w:rsidRDefault="00B40BE6" w:rsidP="00B40BE6">
      <w:pPr>
        <w:wordWrap w:val="0"/>
        <w:snapToGrid w:val="0"/>
        <w:spacing w:beforeLines="50" w:before="180"/>
        <w:jc w:val="right"/>
        <w:rPr>
          <w:rFonts w:eastAsia="標楷體"/>
          <w:sz w:val="20"/>
        </w:rPr>
      </w:pPr>
      <w:r w:rsidRPr="00CD5B3D">
        <w:rPr>
          <w:rFonts w:eastAsia="標楷體"/>
          <w:sz w:val="20"/>
        </w:rPr>
        <w:t>104.11.17 104</w:t>
      </w:r>
      <w:r w:rsidRPr="00CD5B3D">
        <w:rPr>
          <w:rFonts w:eastAsia="標楷體"/>
          <w:sz w:val="20"/>
        </w:rPr>
        <w:t>學年度第</w:t>
      </w:r>
      <w:r w:rsidRPr="00CD5B3D">
        <w:rPr>
          <w:rFonts w:eastAsia="標楷體"/>
          <w:sz w:val="20"/>
        </w:rPr>
        <w:t xml:space="preserve"> 4 </w:t>
      </w:r>
      <w:r w:rsidRPr="00CD5B3D">
        <w:rPr>
          <w:rFonts w:eastAsia="標楷體"/>
          <w:sz w:val="20"/>
        </w:rPr>
        <w:t>次所務會議修訂</w:t>
      </w:r>
    </w:p>
    <w:p w14:paraId="008698CF" w14:textId="77777777" w:rsidR="00B40BE6" w:rsidRPr="00CD5B3D" w:rsidRDefault="00B40BE6" w:rsidP="00B40BE6">
      <w:pPr>
        <w:wordWrap w:val="0"/>
        <w:snapToGrid w:val="0"/>
        <w:jc w:val="right"/>
        <w:rPr>
          <w:rFonts w:eastAsia="標楷體"/>
          <w:sz w:val="20"/>
        </w:rPr>
      </w:pPr>
      <w:r w:rsidRPr="00CD5B3D">
        <w:rPr>
          <w:rFonts w:eastAsia="標楷體"/>
          <w:sz w:val="20"/>
        </w:rPr>
        <w:t>107.06.19 106</w:t>
      </w:r>
      <w:r w:rsidRPr="00CD5B3D">
        <w:rPr>
          <w:rFonts w:eastAsia="標楷體"/>
          <w:sz w:val="20"/>
        </w:rPr>
        <w:t>學年度第</w:t>
      </w:r>
      <w:r w:rsidRPr="00CD5B3D">
        <w:rPr>
          <w:rFonts w:eastAsia="標楷體"/>
          <w:sz w:val="20"/>
        </w:rPr>
        <w:t>12</w:t>
      </w:r>
      <w:r w:rsidRPr="00CD5B3D">
        <w:rPr>
          <w:rFonts w:eastAsia="標楷體"/>
          <w:sz w:val="20"/>
        </w:rPr>
        <w:t>次所務會議修訂</w:t>
      </w:r>
    </w:p>
    <w:p w14:paraId="46A0F52C" w14:textId="77777777" w:rsidR="00B40BE6" w:rsidRPr="00CD5B3D" w:rsidRDefault="00B40BE6" w:rsidP="00B40BE6">
      <w:pPr>
        <w:wordWrap w:val="0"/>
        <w:snapToGrid w:val="0"/>
        <w:jc w:val="right"/>
        <w:rPr>
          <w:rFonts w:eastAsia="標楷體"/>
          <w:sz w:val="20"/>
          <w:u w:val="single"/>
        </w:rPr>
      </w:pPr>
      <w:r w:rsidRPr="00CD5B3D">
        <w:rPr>
          <w:rFonts w:eastAsia="標楷體"/>
          <w:sz w:val="20"/>
          <w:u w:val="single"/>
        </w:rPr>
        <w:t>1</w:t>
      </w:r>
      <w:bookmarkStart w:id="0" w:name="_Hlk76041127"/>
      <w:r w:rsidRPr="00CD5B3D">
        <w:rPr>
          <w:rFonts w:eastAsia="標楷體"/>
          <w:sz w:val="20"/>
          <w:u w:val="single"/>
        </w:rPr>
        <w:t>10.01.12 109</w:t>
      </w:r>
      <w:r w:rsidRPr="00CD5B3D">
        <w:rPr>
          <w:rFonts w:eastAsia="標楷體"/>
          <w:sz w:val="20"/>
          <w:u w:val="single"/>
        </w:rPr>
        <w:t>學年度第</w:t>
      </w:r>
      <w:r w:rsidRPr="00CD5B3D">
        <w:rPr>
          <w:rFonts w:eastAsia="標楷體"/>
          <w:sz w:val="20"/>
          <w:u w:val="single"/>
        </w:rPr>
        <w:t xml:space="preserve"> 6 </w:t>
      </w:r>
      <w:r w:rsidRPr="00CD5B3D">
        <w:rPr>
          <w:rFonts w:eastAsia="標楷體"/>
          <w:sz w:val="20"/>
          <w:u w:val="single"/>
        </w:rPr>
        <w:t>次所務會議</w:t>
      </w:r>
      <w:bookmarkEnd w:id="0"/>
      <w:r w:rsidRPr="00CD5B3D">
        <w:rPr>
          <w:rFonts w:eastAsia="標楷體"/>
          <w:sz w:val="20"/>
          <w:u w:val="single"/>
        </w:rPr>
        <w:t>修訂</w:t>
      </w:r>
    </w:p>
    <w:p w14:paraId="27EA66C3" w14:textId="77777777" w:rsidR="00B40BE6" w:rsidRPr="00CD5B3D" w:rsidRDefault="00B40BE6" w:rsidP="00B40BE6">
      <w:pPr>
        <w:numPr>
          <w:ilvl w:val="0"/>
          <w:numId w:val="1"/>
        </w:numPr>
        <w:snapToGrid w:val="0"/>
        <w:spacing w:beforeLines="50" w:before="180" w:line="400" w:lineRule="exact"/>
        <w:ind w:left="539" w:hanging="539"/>
        <w:jc w:val="both"/>
        <w:rPr>
          <w:rFonts w:ascii="標楷體" w:eastAsia="標楷體" w:hAnsi="標楷體" w:hint="eastAsia"/>
        </w:rPr>
      </w:pPr>
      <w:r w:rsidRPr="00CD5B3D">
        <w:rPr>
          <w:rFonts w:ascii="標楷體" w:eastAsia="標楷體" w:hAnsi="標楷體" w:hint="eastAsia"/>
        </w:rPr>
        <w:t>依國立雲林科技大學技術及職業教育研究所博士班研究生修業要點訂定本所博士生資格考試施行細則。</w:t>
      </w:r>
    </w:p>
    <w:p w14:paraId="66751A9C" w14:textId="77777777" w:rsidR="00B40BE6" w:rsidRPr="00B40BE6" w:rsidRDefault="00B40BE6" w:rsidP="00B40BE6">
      <w:pPr>
        <w:numPr>
          <w:ilvl w:val="0"/>
          <w:numId w:val="1"/>
        </w:numPr>
        <w:spacing w:line="400" w:lineRule="exact"/>
        <w:ind w:left="540" w:hanging="540"/>
        <w:jc w:val="both"/>
        <w:rPr>
          <w:rFonts w:ascii="標楷體" w:eastAsia="標楷體" w:hAnsi="標楷體" w:hint="eastAsia"/>
          <w:bCs/>
        </w:rPr>
      </w:pPr>
      <w:r w:rsidRPr="00B40BE6">
        <w:rPr>
          <w:rFonts w:ascii="標楷體" w:eastAsia="標楷體" w:hAnsi="標楷體" w:hint="eastAsia"/>
          <w:bCs/>
        </w:rPr>
        <w:t>申請條件：博士生於修</w:t>
      </w:r>
      <w:smartTag w:uri="urn:schemas-microsoft-com:office:smarttags" w:element="PersonName">
        <w:smartTagPr>
          <w:attr w:name="ProductID" w:val="畢本所"/>
        </w:smartTagPr>
        <w:r w:rsidRPr="00B40BE6">
          <w:rPr>
            <w:rFonts w:ascii="標楷體" w:eastAsia="標楷體" w:hAnsi="標楷體" w:hint="eastAsia"/>
            <w:bCs/>
          </w:rPr>
          <w:t>畢本所</w:t>
        </w:r>
      </w:smartTag>
      <w:r w:rsidRPr="00B40BE6">
        <w:rPr>
          <w:rFonts w:ascii="標楷體" w:eastAsia="標楷體" w:hAnsi="標楷體" w:hint="eastAsia"/>
          <w:bCs/>
        </w:rPr>
        <w:t>博士班修業要點第四條規定之學分後，得申請參加資格考試。</w:t>
      </w:r>
    </w:p>
    <w:p w14:paraId="00502073" w14:textId="77777777" w:rsidR="00B40BE6" w:rsidRDefault="00B40BE6" w:rsidP="00B40BE6">
      <w:pPr>
        <w:numPr>
          <w:ilvl w:val="0"/>
          <w:numId w:val="1"/>
        </w:numPr>
        <w:spacing w:line="400" w:lineRule="exact"/>
        <w:ind w:left="540" w:hanging="540"/>
        <w:jc w:val="both"/>
        <w:rPr>
          <w:rFonts w:ascii="標楷體" w:eastAsia="標楷體" w:hAnsi="標楷體"/>
          <w:b/>
        </w:rPr>
      </w:pPr>
      <w:r w:rsidRPr="00CD5B3D">
        <w:rPr>
          <w:rFonts w:ascii="標楷體" w:eastAsia="標楷體" w:hAnsi="標楷體" w:hint="eastAsia"/>
          <w:b/>
        </w:rPr>
        <w:t>考試方式</w:t>
      </w:r>
    </w:p>
    <w:p w14:paraId="24762A59" w14:textId="77777777" w:rsidR="00B40BE6" w:rsidRPr="00CD5B3D" w:rsidRDefault="00B40BE6" w:rsidP="00B40BE6">
      <w:pPr>
        <w:spacing w:line="400" w:lineRule="exact"/>
        <w:ind w:firstLineChars="225" w:firstLine="541"/>
        <w:jc w:val="both"/>
        <w:rPr>
          <w:rFonts w:ascii="標楷體" w:eastAsia="標楷體" w:hAnsi="標楷體" w:hint="eastAsia"/>
        </w:rPr>
      </w:pPr>
      <w:r w:rsidRPr="00CD5B3D">
        <w:rPr>
          <w:rFonts w:ascii="標楷體" w:eastAsia="標楷體" w:hAnsi="標楷體" w:hint="eastAsia"/>
          <w:b/>
        </w:rPr>
        <w:t>本所博士班資格考核得由下列三種方式擇一舉行：</w:t>
      </w:r>
    </w:p>
    <w:p w14:paraId="64436E93" w14:textId="77777777" w:rsidR="00B40BE6" w:rsidRPr="00B40BE6" w:rsidRDefault="00B40BE6" w:rsidP="00B40BE6">
      <w:pPr>
        <w:tabs>
          <w:tab w:val="num" w:pos="3848"/>
        </w:tabs>
        <w:spacing w:line="400" w:lineRule="exact"/>
        <w:ind w:leftChars="200" w:left="480"/>
        <w:rPr>
          <w:rFonts w:ascii="標楷體" w:eastAsia="標楷體" w:hAnsi="標楷體" w:hint="eastAsia"/>
          <w:b/>
        </w:rPr>
      </w:pPr>
      <w:r w:rsidRPr="00B40BE6">
        <w:rPr>
          <w:rFonts w:ascii="標楷體" w:eastAsia="標楷體" w:hAnsi="標楷體" w:hint="eastAsia"/>
          <w:b/>
        </w:rPr>
        <w:t>(一)</w:t>
      </w:r>
      <w:r w:rsidRPr="00B40BE6">
        <w:rPr>
          <w:rFonts w:ascii="標楷體" w:eastAsia="標楷體" w:hAnsi="標楷體"/>
          <w:b/>
        </w:rPr>
        <w:t xml:space="preserve"> </w:t>
      </w:r>
      <w:r w:rsidRPr="00B40BE6">
        <w:rPr>
          <w:rFonts w:ascii="標楷體" w:eastAsia="標楷體" w:hAnsi="標楷體" w:hint="eastAsia"/>
          <w:b/>
        </w:rPr>
        <w:t>通過本所筆試考試</w:t>
      </w:r>
    </w:p>
    <w:p w14:paraId="09F5D9DE" w14:textId="77777777" w:rsidR="00B40BE6" w:rsidRPr="00CD5B3D" w:rsidRDefault="00B40BE6" w:rsidP="00B40BE6">
      <w:pPr>
        <w:spacing w:line="400" w:lineRule="exact"/>
        <w:ind w:leftChars="350" w:left="1130" w:hangingChars="121" w:hanging="290"/>
        <w:jc w:val="both"/>
        <w:rPr>
          <w:rFonts w:ascii="標楷體" w:eastAsia="標楷體" w:hAnsi="標楷體"/>
        </w:rPr>
      </w:pPr>
      <w:r w:rsidRPr="00B40BE6">
        <w:rPr>
          <w:rFonts w:ascii="標楷體" w:eastAsia="標楷體" w:hAnsi="標楷體" w:hint="eastAsia"/>
          <w:bCs/>
        </w:rPr>
        <w:t>1.申請時間：</w:t>
      </w:r>
      <w:r w:rsidRPr="00CD5B3D">
        <w:rPr>
          <w:rFonts w:ascii="標楷體" w:eastAsia="標楷體" w:hAnsi="標楷體" w:hint="eastAsia"/>
        </w:rPr>
        <w:t>每學期舉辦一次，應考人可於上學期10月底前或下學期3月底前提出申請，並於12月及5月舉辦資格考試。</w:t>
      </w:r>
    </w:p>
    <w:p w14:paraId="37B3D2AB" w14:textId="77777777" w:rsidR="00B40BE6" w:rsidRPr="00CD5B3D" w:rsidRDefault="00B40BE6" w:rsidP="00B40BE6">
      <w:pPr>
        <w:spacing w:line="400" w:lineRule="exact"/>
        <w:ind w:leftChars="350" w:left="1130" w:hangingChars="121" w:hanging="290"/>
        <w:jc w:val="both"/>
        <w:rPr>
          <w:rFonts w:ascii="標楷體" w:eastAsia="標楷體" w:hAnsi="標楷體"/>
        </w:rPr>
      </w:pPr>
      <w:r w:rsidRPr="00CD5B3D">
        <w:rPr>
          <w:rFonts w:ascii="標楷體" w:eastAsia="標楷體" w:hAnsi="標楷體" w:hint="eastAsia"/>
        </w:rPr>
        <w:t>2.本所博士生資格考試以筆試方試辦理包括下列二類考科：(1)基本能力考科：</w:t>
      </w:r>
      <w:r w:rsidRPr="00CD5B3D">
        <w:rPr>
          <w:rFonts w:ascii="標楷體" w:eastAsia="標楷體" w:hAnsi="標楷體" w:hint="eastAsia"/>
          <w:b/>
        </w:rPr>
        <w:t>2科</w:t>
      </w:r>
      <w:r w:rsidRPr="00CD5B3D">
        <w:rPr>
          <w:rFonts w:ascii="標楷體" w:eastAsia="標楷體" w:hAnsi="標楷體" w:hint="eastAsia"/>
        </w:rPr>
        <w:t>。(2)指導教授指定考科：</w:t>
      </w:r>
      <w:r w:rsidRPr="00CD5B3D">
        <w:rPr>
          <w:rFonts w:ascii="標楷體" w:eastAsia="標楷體" w:hAnsi="標楷體" w:hint="eastAsia"/>
          <w:b/>
        </w:rPr>
        <w:t>1科</w:t>
      </w:r>
      <w:r w:rsidRPr="00CD5B3D">
        <w:rPr>
          <w:rFonts w:ascii="標楷體" w:eastAsia="標楷體" w:hAnsi="標楷體" w:hint="eastAsia"/>
        </w:rPr>
        <w:t>，由指導教授主動告知學生。考試科目應為本所課程流程圖上所列課程，其選考之課程須先修畢並取得學分，考試科目參見本所博士班資格考考試科目表。申請考科應為本所課程流程圖上所列課程，</w:t>
      </w:r>
      <w:r w:rsidRPr="00CD5B3D">
        <w:rPr>
          <w:rFonts w:ascii="標楷體" w:eastAsia="標楷體" w:hAnsi="標楷體" w:hint="eastAsia"/>
          <w:b/>
          <w:u w:val="single"/>
        </w:rPr>
        <w:t>並避免選考科目之授課教師均為同一人，且</w:t>
      </w:r>
      <w:r w:rsidRPr="00CD5B3D">
        <w:rPr>
          <w:rFonts w:ascii="標楷體" w:eastAsia="標楷體" w:hAnsi="標楷體" w:hint="eastAsia"/>
        </w:rPr>
        <w:t>至本校他系修習(含與本所課程流程圖同課名)之外系6學分，一律不得申請為資格考考科。</w:t>
      </w:r>
    </w:p>
    <w:p w14:paraId="08A5CCBB" w14:textId="77777777" w:rsidR="00B40BE6" w:rsidRPr="00CD5B3D" w:rsidRDefault="00B40BE6" w:rsidP="00B40BE6">
      <w:pPr>
        <w:spacing w:line="400" w:lineRule="exact"/>
        <w:ind w:leftChars="350" w:left="1130" w:hangingChars="121" w:hanging="290"/>
        <w:jc w:val="both"/>
        <w:rPr>
          <w:rFonts w:ascii="標楷體" w:eastAsia="標楷體" w:hAnsi="標楷體"/>
        </w:rPr>
      </w:pPr>
      <w:r w:rsidRPr="00CD5B3D">
        <w:rPr>
          <w:rFonts w:ascii="標楷體" w:eastAsia="標楷體" w:hAnsi="標楷體" w:hint="eastAsia"/>
        </w:rPr>
        <w:t>3.基本能力考科由所長商請</w:t>
      </w:r>
      <w:r w:rsidRPr="00CD5B3D">
        <w:rPr>
          <w:rFonts w:ascii="標楷體" w:eastAsia="標楷體" w:hAnsi="標楷體" w:cs="Arial" w:hint="eastAsia"/>
          <w:kern w:val="0"/>
        </w:rPr>
        <w:t>本所專任</w:t>
      </w:r>
      <w:r w:rsidRPr="00CD5B3D">
        <w:rPr>
          <w:rFonts w:ascii="標楷體" w:eastAsia="標楷體" w:hAnsi="標楷體" w:hint="eastAsia"/>
        </w:rPr>
        <w:t>教師或</w:t>
      </w:r>
      <w:r w:rsidRPr="00CD5B3D">
        <w:rPr>
          <w:rFonts w:ascii="標楷體" w:eastAsia="標楷體" w:hAnsi="標楷體" w:cs="Arial" w:hint="eastAsia"/>
          <w:kern w:val="0"/>
        </w:rPr>
        <w:t>相關專業</w:t>
      </w:r>
      <w:r w:rsidRPr="00CD5B3D">
        <w:rPr>
          <w:rFonts w:ascii="標楷體" w:eastAsia="標楷體" w:hAnsi="標楷體" w:hint="eastAsia"/>
        </w:rPr>
        <w:t>學者，各命若干考題，由所長(或聘請教師)挑題、配分，編製成卷，應考方試以閉書式(close book) 為原則，若有變更將另行公告。指導教授指定考科由指導教授命題</w:t>
      </w:r>
      <w:r w:rsidRPr="00CD5B3D">
        <w:rPr>
          <w:rFonts w:ascii="標楷體" w:eastAsia="標楷體" w:hAnsi="標楷體" w:cs="Arial" w:hint="eastAsia"/>
          <w:kern w:val="0"/>
        </w:rPr>
        <w:t>，本所指導教授因故離職</w:t>
      </w:r>
      <w:r w:rsidRPr="00CD5B3D">
        <w:rPr>
          <w:rFonts w:ascii="標楷體" w:eastAsia="標楷體" w:hAnsi="標楷體" w:cs="Arial"/>
          <w:kern w:val="0"/>
        </w:rPr>
        <w:t>(</w:t>
      </w:r>
      <w:r w:rsidRPr="00CD5B3D">
        <w:rPr>
          <w:rFonts w:ascii="標楷體" w:eastAsia="標楷體" w:hAnsi="標楷體" w:cs="Arial" w:hint="eastAsia"/>
          <w:kern w:val="0"/>
        </w:rPr>
        <w:t>含退休</w:t>
      </w:r>
      <w:r w:rsidRPr="00CD5B3D">
        <w:rPr>
          <w:rFonts w:ascii="標楷體" w:eastAsia="標楷體" w:hAnsi="標楷體" w:cs="Arial"/>
          <w:kern w:val="0"/>
        </w:rPr>
        <w:t>)</w:t>
      </w:r>
      <w:r w:rsidRPr="00CD5B3D">
        <w:rPr>
          <w:rFonts w:ascii="標楷體" w:eastAsia="標楷體" w:hAnsi="標楷體" w:cs="Arial" w:hint="eastAsia"/>
          <w:kern w:val="0"/>
        </w:rPr>
        <w:t>時，共同指導教授非本所專任教師時,指導教授指定考科採</w:t>
      </w:r>
      <w:r w:rsidRPr="00CD5B3D">
        <w:rPr>
          <w:rFonts w:ascii="標楷體" w:eastAsia="標楷體" w:hAnsi="標楷體" w:hint="eastAsia"/>
        </w:rPr>
        <w:t>基本能力考科為原則。</w:t>
      </w:r>
    </w:p>
    <w:p w14:paraId="5BABD6E8" w14:textId="77777777" w:rsidR="00B40BE6" w:rsidRPr="00CD5B3D" w:rsidRDefault="00B40BE6" w:rsidP="00B40BE6">
      <w:pPr>
        <w:spacing w:line="400" w:lineRule="exact"/>
        <w:ind w:leftChars="350" w:left="1130" w:hangingChars="121" w:hanging="290"/>
        <w:jc w:val="both"/>
        <w:rPr>
          <w:rFonts w:ascii="標楷體" w:eastAsia="標楷體" w:hAnsi="標楷體"/>
        </w:rPr>
      </w:pPr>
      <w:r w:rsidRPr="00CD5B3D">
        <w:rPr>
          <w:rFonts w:ascii="標楷體" w:eastAsia="標楷體" w:hAnsi="標楷體"/>
        </w:rPr>
        <w:t>4</w:t>
      </w:r>
      <w:r w:rsidRPr="00CD5B3D">
        <w:rPr>
          <w:rFonts w:ascii="標楷體" w:eastAsia="標楷體" w:hAnsi="標楷體" w:hint="eastAsia"/>
        </w:rPr>
        <w:t>.各考試科目之命題教師由該課程授課教師擔任之，若該考科之授課教師拒絕命題及資格考作業等情事，依下列程序辦理之。</w:t>
      </w:r>
    </w:p>
    <w:p w14:paraId="6A606C3A" w14:textId="77777777" w:rsidR="00B40BE6" w:rsidRPr="00CD5B3D" w:rsidRDefault="00B40BE6" w:rsidP="00B40BE6">
      <w:pPr>
        <w:spacing w:line="400" w:lineRule="exact"/>
        <w:ind w:leftChars="450" w:left="1344" w:hangingChars="110" w:hanging="264"/>
        <w:rPr>
          <w:rFonts w:ascii="標楷體" w:eastAsia="標楷體" w:hAnsi="標楷體"/>
        </w:rPr>
      </w:pPr>
      <w:r w:rsidRPr="00CD5B3D">
        <w:rPr>
          <w:rFonts w:ascii="標楷體" w:eastAsia="標楷體" w:hAnsi="標楷體"/>
        </w:rPr>
        <w:t>(1)</w:t>
      </w:r>
      <w:r w:rsidRPr="00CD5B3D">
        <w:rPr>
          <w:rFonts w:ascii="標楷體" w:eastAsia="標楷體" w:hAnsi="標楷體" w:hint="eastAsia"/>
        </w:rPr>
        <w:t>該科授課教師應呈送專簽，並說明拒絕學生選考該考科之原因。</w:t>
      </w:r>
    </w:p>
    <w:p w14:paraId="1024E722" w14:textId="77777777" w:rsidR="00B40BE6" w:rsidRPr="00CD5B3D" w:rsidRDefault="00B40BE6" w:rsidP="00B40BE6">
      <w:pPr>
        <w:spacing w:line="400" w:lineRule="exact"/>
        <w:ind w:leftChars="450" w:left="1344" w:hangingChars="110" w:hanging="264"/>
        <w:rPr>
          <w:rFonts w:ascii="標楷體" w:eastAsia="標楷體" w:hAnsi="標楷體"/>
        </w:rPr>
      </w:pPr>
      <w:r w:rsidRPr="00CD5B3D">
        <w:rPr>
          <w:rFonts w:ascii="標楷體" w:eastAsia="標楷體" w:hAnsi="標楷體"/>
        </w:rPr>
        <w:t>(2)</w:t>
      </w:r>
      <w:r w:rsidRPr="00CD5B3D">
        <w:rPr>
          <w:rFonts w:ascii="標楷體" w:eastAsia="標楷體" w:hAnsi="標楷體" w:hint="eastAsia"/>
        </w:rPr>
        <w:t>俟完成專簽程序後，由本所協調曾經教授該課程之教師或校外學者進行命題及資格考作業。</w:t>
      </w:r>
    </w:p>
    <w:p w14:paraId="72C3B2B4" w14:textId="77777777" w:rsidR="00B40BE6" w:rsidRPr="00CD5B3D" w:rsidRDefault="00B40BE6" w:rsidP="00B40BE6">
      <w:pPr>
        <w:spacing w:line="400" w:lineRule="exact"/>
        <w:ind w:leftChars="350" w:left="1130" w:hangingChars="121" w:hanging="290"/>
        <w:jc w:val="both"/>
        <w:rPr>
          <w:rFonts w:ascii="標楷體" w:eastAsia="標楷體" w:hAnsi="標楷體" w:hint="eastAsia"/>
        </w:rPr>
      </w:pPr>
      <w:r w:rsidRPr="00CD5B3D">
        <w:rPr>
          <w:rFonts w:ascii="標楷體" w:eastAsia="標楷體" w:hAnsi="標楷體"/>
        </w:rPr>
        <w:br w:type="page"/>
      </w:r>
      <w:r w:rsidRPr="00CD5B3D">
        <w:rPr>
          <w:rFonts w:ascii="標楷體" w:eastAsia="標楷體" w:hAnsi="標楷體" w:hint="eastAsia"/>
        </w:rPr>
        <w:lastRenderedPageBreak/>
        <w:t>5.採閉書式(close book)考試,各考科測驗時間為120分鐘。各考科及格標準為70分。基本能力考科與指導教授指定考科之閱卷由各題命題教師評閱給分，加總後達及格標準為通過，否則為不通過。</w:t>
      </w:r>
    </w:p>
    <w:p w14:paraId="58AB9BCD" w14:textId="77777777" w:rsidR="00B40BE6" w:rsidRPr="00CD5B3D" w:rsidRDefault="00B40BE6" w:rsidP="00B40BE6">
      <w:pPr>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6.本所博士生論文計畫審查前須通過全部考科，可分次提出申請應試，考試結果僅公布通過或不通過。</w:t>
      </w:r>
    </w:p>
    <w:p w14:paraId="4A84DD6A" w14:textId="77777777" w:rsidR="00B40BE6" w:rsidRPr="00CD5B3D" w:rsidRDefault="00B40BE6" w:rsidP="00B40BE6">
      <w:pPr>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7.各考科之重考以二次為限，申請後未參加，視同一次不及格(遇特殊情形得以改申請至次一學期考試)，重考二次仍未通過者應予退學。</w:t>
      </w:r>
    </w:p>
    <w:p w14:paraId="662F1275" w14:textId="77777777" w:rsidR="00B40BE6" w:rsidRPr="00B40BE6" w:rsidRDefault="00B40BE6" w:rsidP="00B40BE6">
      <w:pPr>
        <w:tabs>
          <w:tab w:val="num" w:pos="3848"/>
        </w:tabs>
        <w:spacing w:line="400" w:lineRule="exact"/>
        <w:ind w:leftChars="200" w:left="480"/>
        <w:rPr>
          <w:rFonts w:ascii="標楷體" w:eastAsia="標楷體" w:hAnsi="標楷體" w:hint="eastAsia"/>
          <w:b/>
        </w:rPr>
      </w:pPr>
      <w:r w:rsidRPr="00B40BE6">
        <w:rPr>
          <w:rFonts w:ascii="標楷體" w:eastAsia="標楷體" w:hAnsi="標楷體" w:hint="eastAsia"/>
          <w:b/>
        </w:rPr>
        <w:t>(二)</w:t>
      </w:r>
      <w:r w:rsidRPr="00B40BE6">
        <w:rPr>
          <w:rFonts w:ascii="標楷體" w:eastAsia="標楷體" w:hAnsi="標楷體"/>
          <w:b/>
        </w:rPr>
        <w:t xml:space="preserve"> </w:t>
      </w:r>
      <w:r w:rsidRPr="00B40BE6">
        <w:rPr>
          <w:rFonts w:ascii="標楷體" w:eastAsia="標楷體" w:hAnsi="標楷體" w:hint="eastAsia"/>
          <w:b/>
        </w:rPr>
        <w:t>申請以</w:t>
      </w:r>
      <w:r w:rsidRPr="00B40BE6">
        <w:rPr>
          <w:rFonts w:ascii="標楷體" w:eastAsia="標楷體" w:hAnsi="標楷體" w:hint="eastAsia"/>
          <w:b/>
          <w:u w:val="single"/>
        </w:rPr>
        <w:t>額</w:t>
      </w:r>
      <w:r w:rsidRPr="00B40BE6">
        <w:rPr>
          <w:rFonts w:ascii="標楷體" w:eastAsia="標楷體" w:hAnsi="標楷體" w:hint="eastAsia"/>
          <w:b/>
        </w:rPr>
        <w:t>外I級期刊抵免資格考</w:t>
      </w:r>
    </w:p>
    <w:p w14:paraId="36E4025F" w14:textId="364EE318" w:rsidR="00B40BE6" w:rsidRPr="00B40BE6" w:rsidRDefault="00B40BE6" w:rsidP="00B40BE6">
      <w:pPr>
        <w:tabs>
          <w:tab w:val="num" w:pos="3848"/>
        </w:tabs>
        <w:spacing w:line="400" w:lineRule="exact"/>
        <w:ind w:leftChars="350" w:left="1130" w:hangingChars="121" w:hanging="290"/>
        <w:jc w:val="both"/>
        <w:rPr>
          <w:rFonts w:ascii="標楷體" w:eastAsia="標楷體" w:hAnsi="標楷體" w:hint="eastAsia"/>
          <w:bCs/>
        </w:rPr>
      </w:pPr>
      <w:r w:rsidRPr="00B40BE6">
        <w:rPr>
          <w:rFonts w:ascii="標楷體" w:eastAsia="標楷體" w:hAnsi="標楷體" w:hint="eastAsia"/>
          <w:bCs/>
        </w:rPr>
        <w:t>1.計算方式如下：</w:t>
      </w:r>
    </w:p>
    <w:p w14:paraId="643BD79E" w14:textId="77777777" w:rsidR="00B40BE6" w:rsidRPr="00CD5B3D" w:rsidRDefault="00B40BE6" w:rsidP="00B40BE6">
      <w:pPr>
        <w:tabs>
          <w:tab w:val="num" w:pos="3848"/>
        </w:tabs>
        <w:spacing w:line="400" w:lineRule="exact"/>
        <w:ind w:firstLineChars="550" w:firstLine="1320"/>
        <w:rPr>
          <w:rFonts w:ascii="標楷體" w:eastAsia="標楷體" w:hAnsi="標楷體" w:hint="eastAsia"/>
        </w:rPr>
      </w:pPr>
      <w:r w:rsidRPr="00CD5B3D">
        <w:rPr>
          <w:rFonts w:ascii="標楷體" w:eastAsia="標楷體" w:hAnsi="標楷體" w:hint="eastAsia"/>
        </w:rPr>
        <w:t>(1)SSCI期刊一篇與考科領域相近者可抵免二考科。</w:t>
      </w:r>
    </w:p>
    <w:p w14:paraId="66CBB1D2" w14:textId="77777777" w:rsidR="00B40BE6" w:rsidRPr="00CD5B3D" w:rsidRDefault="00B40BE6" w:rsidP="00B40BE6">
      <w:pPr>
        <w:tabs>
          <w:tab w:val="num" w:pos="3848"/>
        </w:tabs>
        <w:spacing w:line="400" w:lineRule="exact"/>
        <w:ind w:leftChars="550" w:left="1560" w:hangingChars="100" w:hanging="240"/>
        <w:rPr>
          <w:rFonts w:ascii="標楷體" w:eastAsia="標楷體" w:hAnsi="標楷體" w:hint="eastAsia"/>
        </w:rPr>
      </w:pPr>
      <w:r w:rsidRPr="00CD5B3D">
        <w:rPr>
          <w:rFonts w:ascii="標楷體" w:eastAsia="標楷體" w:hAnsi="標楷體" w:hint="eastAsia"/>
        </w:rPr>
        <w:t xml:space="preserve">(2)其他I等級或國科會教育學門評比2級(含)以上期刊一篇與考科領域相近者可抵免一考科。 </w:t>
      </w:r>
    </w:p>
    <w:p w14:paraId="2F71B4EF" w14:textId="3218234B" w:rsidR="00B40BE6" w:rsidRPr="00CD5B3D" w:rsidRDefault="00B40BE6" w:rsidP="00B40BE6">
      <w:pPr>
        <w:tabs>
          <w:tab w:val="num" w:pos="3848"/>
        </w:tabs>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 xml:space="preserve">2.抵免資格考筆試科目需經本所務會議核定通過。 </w:t>
      </w:r>
    </w:p>
    <w:p w14:paraId="38370107" w14:textId="77777777" w:rsidR="00B40BE6" w:rsidRPr="00CD5B3D" w:rsidRDefault="00B40BE6" w:rsidP="00B40BE6">
      <w:pPr>
        <w:tabs>
          <w:tab w:val="num" w:pos="3848"/>
        </w:tabs>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 xml:space="preserve">3.申請抵免之期刊必須是博士班入學後發表。 </w:t>
      </w:r>
    </w:p>
    <w:p w14:paraId="312F38F8" w14:textId="77777777" w:rsidR="00B40BE6" w:rsidRPr="00CD5B3D" w:rsidRDefault="00B40BE6" w:rsidP="00B40BE6">
      <w:pPr>
        <w:tabs>
          <w:tab w:val="num" w:pos="3848"/>
        </w:tabs>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4.用以抵免考科之期刊，不得再列入申請博士學位考試之期刊論文發表點數計算。</w:t>
      </w:r>
    </w:p>
    <w:p w14:paraId="7BA94A3F" w14:textId="77777777" w:rsidR="00B40BE6" w:rsidRPr="00CD5B3D" w:rsidRDefault="00B40BE6" w:rsidP="00B40BE6">
      <w:pPr>
        <w:tabs>
          <w:tab w:val="num" w:pos="3848"/>
        </w:tabs>
        <w:spacing w:line="400" w:lineRule="exact"/>
        <w:ind w:leftChars="350" w:left="1130" w:hangingChars="121" w:hanging="290"/>
        <w:jc w:val="both"/>
        <w:rPr>
          <w:rFonts w:ascii="標楷體" w:eastAsia="標楷體" w:hAnsi="標楷體" w:hint="eastAsia"/>
        </w:rPr>
      </w:pPr>
      <w:r w:rsidRPr="00CD5B3D">
        <w:rPr>
          <w:rFonts w:ascii="標楷體" w:eastAsia="標楷體" w:hAnsi="標楷體" w:hint="eastAsia"/>
        </w:rPr>
        <w:t xml:space="preserve">5.申請考科抵免之期刊，需為第一位作者(本所教師1名不列入排序)。 </w:t>
      </w:r>
    </w:p>
    <w:p w14:paraId="28925005" w14:textId="77777777" w:rsidR="00B40BE6" w:rsidRPr="00CD5B3D" w:rsidRDefault="00B40BE6" w:rsidP="00B40BE6">
      <w:pPr>
        <w:tabs>
          <w:tab w:val="num" w:pos="3848"/>
        </w:tabs>
        <w:spacing w:line="400" w:lineRule="exact"/>
        <w:ind w:leftChars="200" w:left="1153" w:hangingChars="280" w:hanging="673"/>
        <w:rPr>
          <w:rFonts w:ascii="標楷體" w:eastAsia="標楷體" w:hAnsi="標楷體" w:hint="eastAsia"/>
        </w:rPr>
      </w:pPr>
      <w:r w:rsidRPr="00CD5B3D">
        <w:rPr>
          <w:rFonts w:ascii="標楷體" w:eastAsia="標楷體" w:hAnsi="標楷體" w:hint="eastAsia"/>
          <w:b/>
        </w:rPr>
        <w:t xml:space="preserve"> (三)</w:t>
      </w:r>
      <w:r w:rsidRPr="00CD5B3D">
        <w:rPr>
          <w:rFonts w:ascii="標楷體" w:eastAsia="標楷體" w:hAnsi="標楷體"/>
          <w:b/>
        </w:rPr>
        <w:t xml:space="preserve"> </w:t>
      </w:r>
      <w:r w:rsidRPr="00CD5B3D">
        <w:rPr>
          <w:rFonts w:ascii="標楷體" w:eastAsia="標楷體" w:hAnsi="標楷體" w:hint="eastAsia"/>
          <w:b/>
        </w:rPr>
        <w:t>通過指導教授召集之委員會口試審核(若前兩項無法符合學生發展及需求時適用之)</w:t>
      </w:r>
    </w:p>
    <w:p w14:paraId="1014907C" w14:textId="77777777" w:rsidR="00B40BE6" w:rsidRPr="00B40BE6" w:rsidRDefault="00B40BE6" w:rsidP="00B40BE6">
      <w:pPr>
        <w:spacing w:line="400" w:lineRule="exact"/>
        <w:ind w:leftChars="350" w:left="1130" w:hangingChars="121" w:hanging="290"/>
        <w:jc w:val="both"/>
        <w:rPr>
          <w:rFonts w:ascii="標楷體" w:eastAsia="標楷體" w:hAnsi="標楷體" w:hint="eastAsia"/>
        </w:rPr>
      </w:pPr>
      <w:r w:rsidRPr="00B40BE6">
        <w:rPr>
          <w:rFonts w:ascii="標楷體" w:eastAsia="標楷體" w:hAnsi="標楷體" w:hint="eastAsia"/>
        </w:rPr>
        <w:t>1.申請時間：每學期舉辦一次，應考人可於上學期10月底前或下學期3月底前提出申請。</w:t>
      </w:r>
    </w:p>
    <w:p w14:paraId="7FF78F27" w14:textId="77777777" w:rsidR="00B40BE6" w:rsidRPr="00B40BE6" w:rsidRDefault="00B40BE6" w:rsidP="00B40BE6">
      <w:pPr>
        <w:spacing w:line="400" w:lineRule="exact"/>
        <w:ind w:leftChars="350" w:left="1130" w:hangingChars="121" w:hanging="290"/>
        <w:jc w:val="both"/>
        <w:rPr>
          <w:rFonts w:ascii="標楷體" w:eastAsia="標楷體" w:hAnsi="標楷體" w:hint="eastAsia"/>
        </w:rPr>
      </w:pPr>
      <w:r w:rsidRPr="00B40BE6">
        <w:rPr>
          <w:rFonts w:ascii="標楷體" w:eastAsia="標楷體" w:hAnsi="標楷體" w:hint="eastAsia"/>
        </w:rPr>
        <w:t>2.考試方式：採繳交書面報告後進行口試。</w:t>
      </w:r>
    </w:p>
    <w:p w14:paraId="573BCE84" w14:textId="77777777" w:rsidR="00B40BE6" w:rsidRPr="00B40BE6" w:rsidRDefault="00B40BE6" w:rsidP="00B40BE6">
      <w:pPr>
        <w:spacing w:line="400" w:lineRule="exact"/>
        <w:ind w:leftChars="350" w:left="1130" w:hangingChars="121" w:hanging="290"/>
        <w:jc w:val="both"/>
        <w:rPr>
          <w:rFonts w:ascii="標楷體" w:eastAsia="標楷體" w:hAnsi="標楷體" w:hint="eastAsia"/>
        </w:rPr>
      </w:pPr>
      <w:r w:rsidRPr="00B40BE6">
        <w:rPr>
          <w:rFonts w:ascii="標楷體" w:eastAsia="標楷體" w:hAnsi="標楷體" w:hint="eastAsia"/>
        </w:rPr>
        <w:t>3.命題與書面報告：由所長與指導教授協調相關教師命題 (1題採現場測驗方式，另3題採作業報告方式完成)，考試時間為上學期12月或下學期5月(日期另行公告)，應考人須參與現場測驗並於指定時間內繳交書面報告四份。</w:t>
      </w:r>
    </w:p>
    <w:p w14:paraId="2C6E87D4" w14:textId="77777777" w:rsidR="00B40BE6" w:rsidRPr="00B40BE6" w:rsidRDefault="00B40BE6" w:rsidP="00B40BE6">
      <w:pPr>
        <w:spacing w:line="400" w:lineRule="exact"/>
        <w:ind w:leftChars="350" w:left="1130" w:hangingChars="121" w:hanging="290"/>
        <w:jc w:val="both"/>
        <w:rPr>
          <w:rFonts w:ascii="標楷體" w:eastAsia="標楷體" w:hAnsi="標楷體" w:hint="eastAsia"/>
        </w:rPr>
      </w:pPr>
      <w:r w:rsidRPr="00B40BE6">
        <w:rPr>
          <w:rFonts w:ascii="標楷體" w:eastAsia="標楷體" w:hAnsi="標楷體" w:hint="eastAsia"/>
        </w:rPr>
        <w:t>4.口試審核：由所長與指導教授協調，聘請與考試內容相關教師2位，共4位委員(含所長及指導教授)於繳交報告後3週內辦理口試。</w:t>
      </w:r>
    </w:p>
    <w:p w14:paraId="275D9CBE" w14:textId="77777777" w:rsidR="00B40BE6" w:rsidRPr="00CD5B3D" w:rsidRDefault="00B40BE6" w:rsidP="00B40BE6">
      <w:pPr>
        <w:spacing w:line="400" w:lineRule="exact"/>
        <w:ind w:leftChars="350" w:left="1130" w:hangingChars="121" w:hanging="290"/>
        <w:jc w:val="both"/>
        <w:rPr>
          <w:rFonts w:ascii="標楷體" w:eastAsia="標楷體" w:hAnsi="標楷體" w:hint="eastAsia"/>
        </w:rPr>
      </w:pPr>
      <w:r w:rsidRPr="00B40BE6">
        <w:rPr>
          <w:rFonts w:ascii="標楷體" w:eastAsia="標楷體" w:hAnsi="標楷體" w:hint="eastAsia"/>
        </w:rPr>
        <w:t>5.成績評定：以100為滿分，70分為及格，不及格者得申請重考，重考以二次為限，申請後未參加，</w:t>
      </w:r>
      <w:r w:rsidRPr="00CD5B3D">
        <w:rPr>
          <w:rFonts w:ascii="標楷體" w:eastAsia="標楷體" w:hAnsi="標楷體" w:hint="eastAsia"/>
        </w:rPr>
        <w:t>視同一次不及格，重考二次仍未通過者應予退學。</w:t>
      </w:r>
    </w:p>
    <w:p w14:paraId="0925CE12" w14:textId="77777777" w:rsidR="00B40BE6" w:rsidRPr="00B40BE6" w:rsidRDefault="00B40BE6" w:rsidP="00B40BE6">
      <w:pPr>
        <w:numPr>
          <w:ilvl w:val="0"/>
          <w:numId w:val="1"/>
        </w:numPr>
        <w:spacing w:line="400" w:lineRule="exact"/>
        <w:ind w:left="540" w:hanging="540"/>
        <w:jc w:val="both"/>
        <w:rPr>
          <w:rFonts w:ascii="標楷體" w:eastAsia="標楷體" w:hAnsi="標楷體"/>
          <w:bCs/>
        </w:rPr>
      </w:pPr>
      <w:r w:rsidRPr="00B40BE6">
        <w:rPr>
          <w:rFonts w:ascii="標楷體" w:eastAsia="標楷體" w:hAnsi="標楷體" w:hint="eastAsia"/>
          <w:bCs/>
        </w:rPr>
        <w:t>本所博士班研究生之資格考試悉依本校「</w:t>
      </w:r>
      <w:r w:rsidRPr="00B40BE6">
        <w:rPr>
          <w:rFonts w:ascii="標楷體" w:eastAsia="標楷體" w:hAnsi="標楷體" w:hint="eastAsia"/>
          <w:b/>
          <w:u w:val="single"/>
        </w:rPr>
        <w:t>研究生學位考試辦法</w:t>
      </w:r>
      <w:r w:rsidRPr="00B40BE6">
        <w:rPr>
          <w:rFonts w:ascii="標楷體" w:eastAsia="標楷體" w:hAnsi="標楷體" w:hint="eastAsia"/>
          <w:bCs/>
        </w:rPr>
        <w:t>」及本施行細則辦理，其餘未盡事宜得依本所所務會議決議辦理。</w:t>
      </w:r>
    </w:p>
    <w:p w14:paraId="0A5F4469" w14:textId="77777777" w:rsidR="00B40BE6" w:rsidRPr="00B40BE6" w:rsidRDefault="00B40BE6" w:rsidP="00B40BE6">
      <w:pPr>
        <w:numPr>
          <w:ilvl w:val="0"/>
          <w:numId w:val="1"/>
        </w:numPr>
        <w:spacing w:line="400" w:lineRule="exact"/>
        <w:ind w:left="540" w:hanging="540"/>
        <w:jc w:val="both"/>
        <w:rPr>
          <w:rFonts w:ascii="標楷體" w:eastAsia="標楷體" w:hAnsi="標楷體" w:hint="eastAsia"/>
          <w:bCs/>
        </w:rPr>
      </w:pPr>
      <w:r w:rsidRPr="00B40BE6">
        <w:rPr>
          <w:rFonts w:ascii="標楷體" w:eastAsia="標楷體" w:hAnsi="標楷體" w:hint="eastAsia"/>
          <w:bCs/>
        </w:rPr>
        <w:t>本施行細則經所務會議通過後公告實施，修正時亦同。</w:t>
      </w:r>
    </w:p>
    <w:p w14:paraId="4A0AD165" w14:textId="03D028A5" w:rsidR="00B40BE6" w:rsidRDefault="00B40BE6">
      <w:pPr>
        <w:widowControl/>
        <w:rPr>
          <w:rFonts w:ascii="標楷體" w:eastAsia="標楷體" w:hAnsi="標楷體"/>
        </w:rPr>
      </w:pPr>
      <w:r>
        <w:rPr>
          <w:rFonts w:ascii="標楷體" w:eastAsia="標楷體" w:hAnsi="標楷體"/>
        </w:rPr>
        <w:br w:type="page"/>
      </w:r>
    </w:p>
    <w:p w14:paraId="352AB4C2" w14:textId="77777777" w:rsidR="00814451" w:rsidRPr="00771891" w:rsidRDefault="00814451" w:rsidP="00814451">
      <w:pPr>
        <w:tabs>
          <w:tab w:val="num" w:pos="-1920"/>
        </w:tabs>
        <w:jc w:val="center"/>
        <w:rPr>
          <w:snapToGrid w:val="0"/>
          <w:kern w:val="0"/>
          <w:sz w:val="20"/>
        </w:rPr>
      </w:pPr>
      <w:r w:rsidRPr="00771891">
        <w:rPr>
          <w:rFonts w:hint="eastAsia"/>
          <w:snapToGrid w:val="0"/>
          <w:kern w:val="0"/>
          <w:sz w:val="20"/>
        </w:rPr>
        <w:lastRenderedPageBreak/>
        <w:t>英文翻譯是由</w:t>
      </w:r>
      <w:r w:rsidRPr="00771891">
        <w:rPr>
          <w:rFonts w:hint="eastAsia"/>
          <w:snapToGrid w:val="0"/>
          <w:kern w:val="0"/>
          <w:sz w:val="20"/>
        </w:rPr>
        <w:t>AI</w:t>
      </w:r>
      <w:r w:rsidRPr="00771891">
        <w:rPr>
          <w:rFonts w:hint="eastAsia"/>
          <w:snapToGrid w:val="0"/>
          <w:kern w:val="0"/>
          <w:sz w:val="20"/>
        </w:rPr>
        <w:t>協助完成，可能存在一些語意偏差或文法錯誤，請以原文為主，謹慎參考。</w:t>
      </w:r>
    </w:p>
    <w:p w14:paraId="42653A70" w14:textId="77777777" w:rsidR="00814451" w:rsidRPr="00771891" w:rsidRDefault="00814451" w:rsidP="00814451">
      <w:pPr>
        <w:pStyle w:val="test3"/>
        <w:snapToGrid w:val="0"/>
        <w:spacing w:line="360" w:lineRule="exact"/>
        <w:jc w:val="center"/>
        <w:rPr>
          <w:snapToGrid w:val="0"/>
          <w:kern w:val="0"/>
          <w:sz w:val="20"/>
        </w:rPr>
      </w:pPr>
      <w:r w:rsidRPr="00771891">
        <w:rPr>
          <w:snapToGrid w:val="0"/>
          <w:kern w:val="0"/>
          <w:sz w:val="20"/>
        </w:rPr>
        <w:t>The ensuing English translation has been facilitated by AI assistance. There may be instances of semantic deviation or grammatical inaccuracies. Please prioritize the original text and exercise caution in reference.</w:t>
      </w:r>
    </w:p>
    <w:p w14:paraId="3B1F2712" w14:textId="77777777" w:rsidR="00814451" w:rsidRPr="00814451" w:rsidRDefault="00814451" w:rsidP="00AA0284">
      <w:pPr>
        <w:pStyle w:val="test3"/>
        <w:snapToGrid w:val="0"/>
        <w:spacing w:line="360" w:lineRule="exact"/>
        <w:jc w:val="center"/>
        <w:rPr>
          <w:b/>
          <w:bCs/>
          <w:snapToGrid w:val="0"/>
          <w:kern w:val="0"/>
          <w:sz w:val="34"/>
          <w:szCs w:val="34"/>
        </w:rPr>
      </w:pPr>
    </w:p>
    <w:p w14:paraId="27C14C20" w14:textId="2A2A7D8C" w:rsidR="00B40BE6" w:rsidRPr="00AA0284" w:rsidRDefault="00AA0284" w:rsidP="00AA0284">
      <w:pPr>
        <w:pStyle w:val="test3"/>
        <w:snapToGrid w:val="0"/>
        <w:spacing w:line="360" w:lineRule="exact"/>
        <w:jc w:val="center"/>
        <w:rPr>
          <w:b/>
          <w:sz w:val="34"/>
          <w:szCs w:val="34"/>
        </w:rPr>
      </w:pPr>
      <w:r w:rsidRPr="00AA0284">
        <w:rPr>
          <w:b/>
          <w:bCs/>
          <w:snapToGrid w:val="0"/>
          <w:kern w:val="0"/>
          <w:sz w:val="34"/>
          <w:szCs w:val="34"/>
        </w:rPr>
        <w:t>National Yunlin University of Science and Technology</w:t>
      </w:r>
      <w:r>
        <w:rPr>
          <w:b/>
          <w:bCs/>
          <w:snapToGrid w:val="0"/>
          <w:kern w:val="0"/>
          <w:sz w:val="34"/>
          <w:szCs w:val="34"/>
        </w:rPr>
        <w:t xml:space="preserve"> </w:t>
      </w:r>
      <w:r w:rsidRPr="00AA0284">
        <w:rPr>
          <w:b/>
          <w:bCs/>
          <w:snapToGrid w:val="0"/>
          <w:kern w:val="0"/>
          <w:sz w:val="34"/>
          <w:szCs w:val="34"/>
        </w:rPr>
        <w:t>Graduate Institute of Technological and Vocational Education</w:t>
      </w:r>
      <w:r>
        <w:rPr>
          <w:b/>
          <w:bCs/>
          <w:snapToGrid w:val="0"/>
          <w:kern w:val="0"/>
          <w:sz w:val="34"/>
          <w:szCs w:val="34"/>
        </w:rPr>
        <w:t xml:space="preserve"> </w:t>
      </w:r>
      <w:r w:rsidR="00B40BE6" w:rsidRPr="00AA0284">
        <w:rPr>
          <w:b/>
          <w:sz w:val="34"/>
          <w:szCs w:val="34"/>
        </w:rPr>
        <w:t xml:space="preserve">Doctoral Students’ </w:t>
      </w:r>
      <w:r w:rsidR="00B40BE6" w:rsidRPr="00AA0284">
        <w:rPr>
          <w:b/>
          <w:sz w:val="34"/>
          <w:szCs w:val="34"/>
          <w:shd w:val="clear" w:color="auto" w:fill="FFFFFF"/>
        </w:rPr>
        <w:t>Comprehensive Examinations Executive Rules</w:t>
      </w:r>
    </w:p>
    <w:p w14:paraId="3D92339A" w14:textId="77777777" w:rsidR="00B40BE6" w:rsidRPr="00CD5B3D" w:rsidRDefault="00B40BE6" w:rsidP="00B40BE6">
      <w:pPr>
        <w:wordWrap w:val="0"/>
        <w:snapToGrid w:val="0"/>
        <w:spacing w:line="0" w:lineRule="atLeast"/>
        <w:ind w:right="450"/>
        <w:jc w:val="both"/>
        <w:rPr>
          <w:rFonts w:eastAsia="標楷體"/>
        </w:rPr>
      </w:pPr>
    </w:p>
    <w:p w14:paraId="2CD27BD4" w14:textId="77777777" w:rsidR="00B40BE6" w:rsidRPr="00B40BE6" w:rsidRDefault="00B40BE6" w:rsidP="00B40BE6">
      <w:pPr>
        <w:wordWrap w:val="0"/>
        <w:adjustRightInd w:val="0"/>
        <w:snapToGrid w:val="0"/>
        <w:spacing w:line="360" w:lineRule="exact"/>
        <w:jc w:val="right"/>
        <w:rPr>
          <w:rFonts w:eastAsia="標楷體"/>
          <w:snapToGrid w:val="0"/>
          <w:kern w:val="0"/>
          <w:sz w:val="20"/>
          <w:u w:val="single"/>
        </w:rPr>
      </w:pPr>
      <w:r w:rsidRPr="00B40BE6">
        <w:rPr>
          <w:rFonts w:eastAsia="標楷體"/>
          <w:snapToGrid w:val="0"/>
          <w:kern w:val="0"/>
          <w:sz w:val="20"/>
          <w:u w:val="single"/>
        </w:rPr>
        <w:t>Revised at the 6th Department Affair Meeting on Jan. 12th, 2021</w:t>
      </w:r>
    </w:p>
    <w:p w14:paraId="21E54889" w14:textId="77777777" w:rsidR="00B40BE6" w:rsidRPr="00CD5B3D" w:rsidRDefault="00B40BE6" w:rsidP="00B40BE6">
      <w:pPr>
        <w:snapToGrid w:val="0"/>
        <w:spacing w:line="0" w:lineRule="atLeast"/>
        <w:jc w:val="right"/>
        <w:rPr>
          <w:rFonts w:eastAsia="標楷體" w:hint="eastAsia"/>
          <w:sz w:val="20"/>
        </w:rPr>
      </w:pPr>
    </w:p>
    <w:p w14:paraId="4F1D73F8" w14:textId="77777777" w:rsidR="00AC5A59" w:rsidRPr="00AC5A59" w:rsidRDefault="00AC5A59" w:rsidP="00AC5A59">
      <w:pPr>
        <w:pStyle w:val="a4"/>
        <w:numPr>
          <w:ilvl w:val="0"/>
          <w:numId w:val="3"/>
        </w:numPr>
        <w:ind w:leftChars="0"/>
        <w:rPr>
          <w:rFonts w:eastAsia="標楷體"/>
        </w:rPr>
      </w:pPr>
      <w:r w:rsidRPr="00AC5A59">
        <w:rPr>
          <w:rFonts w:eastAsia="標楷體"/>
        </w:rPr>
        <w:t>These rules are established in accordance with the " Regulations for Doctoral Students" of the Graduate Institute of Technological and Vocational Education (hereinafter referred to as "the Institute") at National Yunlin University of Science and Technology.</w:t>
      </w:r>
    </w:p>
    <w:p w14:paraId="0536FE97" w14:textId="4611CFE4" w:rsidR="00B40BE6" w:rsidRPr="00CD5B3D" w:rsidRDefault="00B40BE6" w:rsidP="00B40BE6">
      <w:pPr>
        <w:numPr>
          <w:ilvl w:val="0"/>
          <w:numId w:val="3"/>
        </w:numPr>
        <w:adjustRightInd w:val="0"/>
        <w:spacing w:beforeLines="50" w:before="180" w:line="300" w:lineRule="exact"/>
        <w:ind w:left="360" w:hangingChars="150" w:hanging="360"/>
        <w:jc w:val="both"/>
        <w:rPr>
          <w:rFonts w:eastAsia="標楷體"/>
        </w:rPr>
      </w:pPr>
      <w:r w:rsidRPr="00CD5B3D">
        <w:rPr>
          <w:rFonts w:eastAsia="標楷體"/>
        </w:rPr>
        <w:t>The condition of application: Doctoral students can apply for qualification examination after they have earned credits which are according to the fourth point of National Yunlin University of Science and Technology’s Graduate School of Technological and Vocational Education doctoral students’ taking courses rules.</w:t>
      </w:r>
    </w:p>
    <w:p w14:paraId="29D19AA2" w14:textId="77777777" w:rsidR="00B40BE6" w:rsidRPr="00CD5B3D" w:rsidRDefault="00B40BE6" w:rsidP="00B40BE6">
      <w:pPr>
        <w:numPr>
          <w:ilvl w:val="0"/>
          <w:numId w:val="3"/>
        </w:numPr>
        <w:adjustRightInd w:val="0"/>
        <w:spacing w:beforeLines="50" w:before="180" w:line="300" w:lineRule="exact"/>
        <w:ind w:left="360" w:hangingChars="150" w:hanging="360"/>
        <w:jc w:val="both"/>
        <w:rPr>
          <w:rFonts w:eastAsia="標楷體"/>
        </w:rPr>
      </w:pPr>
      <w:r w:rsidRPr="00CD5B3D">
        <w:rPr>
          <w:rFonts w:eastAsia="標楷體"/>
        </w:rPr>
        <w:t xml:space="preserve"> The way of examination</w:t>
      </w:r>
    </w:p>
    <w:p w14:paraId="69260008" w14:textId="0323FD19" w:rsidR="00B40BE6" w:rsidRPr="00CD5B3D" w:rsidRDefault="00ED3643" w:rsidP="00B40BE6">
      <w:pPr>
        <w:ind w:leftChars="200" w:left="480" w:firstLineChars="150" w:firstLine="360"/>
        <w:jc w:val="both"/>
        <w:rPr>
          <w:rFonts w:eastAsia="標楷體"/>
          <w:bCs/>
        </w:rPr>
      </w:pPr>
      <w:r w:rsidRPr="00ED3643">
        <w:rPr>
          <w:rFonts w:eastAsia="標楷體"/>
          <w:bCs/>
        </w:rPr>
        <w:t>The doctoral qualifying examination of this Institute shall be conducted via one of the following three methods:</w:t>
      </w:r>
      <w:r w:rsidR="00B40BE6" w:rsidRPr="00CD5B3D">
        <w:rPr>
          <w:rFonts w:eastAsia="標楷體"/>
          <w:bCs/>
          <w:shd w:val="clear" w:color="auto" w:fill="FFFFFF"/>
        </w:rPr>
        <w:t>:</w:t>
      </w:r>
    </w:p>
    <w:p w14:paraId="71DC222C" w14:textId="77777777" w:rsidR="00B40BE6" w:rsidRPr="00CD5B3D" w:rsidRDefault="00B40BE6" w:rsidP="00B40BE6">
      <w:pPr>
        <w:numPr>
          <w:ilvl w:val="0"/>
          <w:numId w:val="5"/>
        </w:numPr>
        <w:spacing w:beforeLines="50" w:before="180"/>
        <w:ind w:leftChars="150" w:left="840" w:hangingChars="200" w:hanging="480"/>
        <w:rPr>
          <w:rFonts w:eastAsia="標楷體"/>
          <w:b/>
        </w:rPr>
      </w:pPr>
      <w:r w:rsidRPr="00CD5B3D">
        <w:rPr>
          <w:rFonts w:eastAsia="標楷體"/>
          <w:b/>
        </w:rPr>
        <w:t xml:space="preserve"> Pass Graduate School of Technological and Vocational Education’s qualification examination </w:t>
      </w:r>
    </w:p>
    <w:p w14:paraId="2517E813" w14:textId="574C31D4" w:rsidR="00B40BE6" w:rsidRPr="006B16E6" w:rsidRDefault="00532253" w:rsidP="006B16E6">
      <w:pPr>
        <w:pStyle w:val="a4"/>
        <w:numPr>
          <w:ilvl w:val="0"/>
          <w:numId w:val="15"/>
        </w:numPr>
        <w:spacing w:beforeLines="50" w:before="180" w:line="300" w:lineRule="exact"/>
        <w:ind w:leftChars="0"/>
        <w:jc w:val="both"/>
        <w:rPr>
          <w:rFonts w:eastAsia="標楷體"/>
        </w:rPr>
      </w:pPr>
      <w:r w:rsidRPr="006B16E6">
        <w:rPr>
          <w:rFonts w:eastAsia="標楷體"/>
        </w:rPr>
        <w:t>Application Timeline: The examination is held once per semester. Applications must be submitted by the end of October for the first semester, or by the end of March for the second semester. The examinations are conducted in December and May, respectively.</w:t>
      </w:r>
    </w:p>
    <w:p w14:paraId="1DCEDC3F" w14:textId="6921EA65" w:rsidR="00ED3643" w:rsidRPr="006B16E6" w:rsidRDefault="00532253" w:rsidP="006B16E6">
      <w:pPr>
        <w:pStyle w:val="a4"/>
        <w:numPr>
          <w:ilvl w:val="0"/>
          <w:numId w:val="15"/>
        </w:numPr>
        <w:spacing w:beforeLines="50" w:before="180" w:line="300" w:lineRule="exact"/>
        <w:ind w:leftChars="0"/>
        <w:jc w:val="both"/>
        <w:rPr>
          <w:rFonts w:eastAsia="標楷體"/>
        </w:rPr>
      </w:pPr>
      <w:r w:rsidRPr="006B16E6">
        <w:rPr>
          <w:rFonts w:eastAsia="標楷體"/>
        </w:rPr>
        <w:t>Subjects: The examination consists of two categories:</w:t>
      </w:r>
      <w:r w:rsidR="00ED3643" w:rsidRPr="006B16E6">
        <w:rPr>
          <w:rFonts w:eastAsia="標楷體" w:hint="eastAsia"/>
        </w:rPr>
        <w:t xml:space="preserve"> </w:t>
      </w:r>
    </w:p>
    <w:p w14:paraId="1413DF42" w14:textId="59689FFF" w:rsidR="00ED3643" w:rsidRPr="00ED3643" w:rsidRDefault="00532253" w:rsidP="00ED3643">
      <w:pPr>
        <w:pStyle w:val="a4"/>
        <w:numPr>
          <w:ilvl w:val="0"/>
          <w:numId w:val="10"/>
        </w:numPr>
        <w:spacing w:beforeLines="50" w:before="180" w:line="300" w:lineRule="exact"/>
        <w:ind w:leftChars="0"/>
        <w:jc w:val="both"/>
        <w:rPr>
          <w:rFonts w:eastAsia="標楷體"/>
        </w:rPr>
      </w:pPr>
      <w:r w:rsidRPr="00ED3643">
        <w:rPr>
          <w:rFonts w:eastAsia="標楷體"/>
        </w:rPr>
        <w:t>Basic Competency Subjects: Two subjects.</w:t>
      </w:r>
    </w:p>
    <w:p w14:paraId="7F8E0EDE" w14:textId="27E97145" w:rsidR="00ED3643" w:rsidRDefault="00532253" w:rsidP="00ED3643">
      <w:pPr>
        <w:pStyle w:val="a4"/>
        <w:numPr>
          <w:ilvl w:val="0"/>
          <w:numId w:val="10"/>
        </w:numPr>
        <w:spacing w:beforeLines="50" w:before="180" w:line="300" w:lineRule="exact"/>
        <w:ind w:leftChars="0"/>
        <w:jc w:val="both"/>
      </w:pPr>
      <w:r w:rsidRPr="00ED3643">
        <w:rPr>
          <w:rFonts w:eastAsia="標楷體"/>
        </w:rPr>
        <w:t>Advisor-Designated Subject: One subject, assigned by the student’s advisor.</w:t>
      </w:r>
      <w:r w:rsidR="00ED3643" w:rsidRPr="00ED3643">
        <w:t xml:space="preserve"> </w:t>
      </w:r>
    </w:p>
    <w:p w14:paraId="70B377F2" w14:textId="23E411DD" w:rsidR="00532253" w:rsidRPr="00ED3643" w:rsidRDefault="00ED3643" w:rsidP="00ED3643">
      <w:pPr>
        <w:pStyle w:val="a4"/>
        <w:numPr>
          <w:ilvl w:val="0"/>
          <w:numId w:val="10"/>
        </w:numPr>
        <w:spacing w:beforeLines="50" w:before="180" w:line="300" w:lineRule="exact"/>
        <w:ind w:leftChars="0"/>
        <w:jc w:val="both"/>
        <w:rPr>
          <w:rFonts w:eastAsia="標楷體"/>
        </w:rPr>
      </w:pPr>
      <w:r w:rsidRPr="00ED3643">
        <w:rPr>
          <w:rFonts w:eastAsia="標楷體"/>
        </w:rPr>
        <w:t>The subjects must be courses listed on the Institute’s curriculum flowchart. Candidates must have completed the selected courses and earned credits beforehand (refer to the List of Doctoral Qualifying Examination Subjects). The applied subjects must be listed on the curriculum flowchart, and students should avoid selecting subjects taught by the same instructor. Furthermore, 6 credits taken from other departments (including courses with the same name as those on the flowchart) may not be used as qualifying examination subjects.</w:t>
      </w:r>
    </w:p>
    <w:p w14:paraId="21894DED" w14:textId="3C128FBB" w:rsidR="00ED3643" w:rsidRPr="006B16E6" w:rsidRDefault="00ED3643" w:rsidP="006B16E6">
      <w:pPr>
        <w:pStyle w:val="a4"/>
        <w:numPr>
          <w:ilvl w:val="0"/>
          <w:numId w:val="15"/>
        </w:numPr>
        <w:spacing w:beforeLines="50" w:before="180" w:line="300" w:lineRule="exact"/>
        <w:ind w:leftChars="0"/>
        <w:jc w:val="both"/>
        <w:rPr>
          <w:rFonts w:eastAsia="標楷體"/>
        </w:rPr>
      </w:pPr>
      <w:r w:rsidRPr="006B16E6">
        <w:rPr>
          <w:rFonts w:eastAsia="標楷體"/>
        </w:rPr>
        <w:t xml:space="preserve">Question Formulation: </w:t>
      </w:r>
    </w:p>
    <w:p w14:paraId="4DF7F537" w14:textId="77777777" w:rsidR="00ED3643" w:rsidRPr="00ED3643" w:rsidRDefault="00ED3643" w:rsidP="00ED3643">
      <w:pPr>
        <w:pStyle w:val="a4"/>
        <w:numPr>
          <w:ilvl w:val="0"/>
          <w:numId w:val="11"/>
        </w:numPr>
        <w:spacing w:beforeLines="50" w:before="180" w:line="300" w:lineRule="exact"/>
        <w:ind w:leftChars="0"/>
        <w:jc w:val="both"/>
        <w:rPr>
          <w:rFonts w:eastAsia="標楷體"/>
        </w:rPr>
      </w:pPr>
      <w:r w:rsidRPr="00ED3643">
        <w:rPr>
          <w:rFonts w:eastAsia="標楷體"/>
        </w:rPr>
        <w:t xml:space="preserve">Core Competency Subject questions are provided by full-time faculty or relevant professional scholars at the Director’s request. The Director (or an appointed faculty member) will select questions and assign point values to compile the exam paper. </w:t>
      </w:r>
    </w:p>
    <w:p w14:paraId="254EA7C8" w14:textId="77777777" w:rsidR="00ED3643" w:rsidRPr="00ED3643" w:rsidRDefault="00ED3643" w:rsidP="00ED3643">
      <w:pPr>
        <w:pStyle w:val="a4"/>
        <w:numPr>
          <w:ilvl w:val="0"/>
          <w:numId w:val="11"/>
        </w:numPr>
        <w:spacing w:beforeLines="50" w:before="180" w:line="300" w:lineRule="exact"/>
        <w:ind w:leftChars="0"/>
        <w:jc w:val="both"/>
        <w:rPr>
          <w:rFonts w:eastAsia="標楷體"/>
        </w:rPr>
      </w:pPr>
      <w:r w:rsidRPr="00ED3643">
        <w:rPr>
          <w:rFonts w:eastAsia="標楷體"/>
        </w:rPr>
        <w:lastRenderedPageBreak/>
        <w:t xml:space="preserve">The examination is, in principle, closed-book; any changes will be announced separately. </w:t>
      </w:r>
    </w:p>
    <w:p w14:paraId="69152312" w14:textId="3C871573" w:rsidR="00B40BE6" w:rsidRPr="00ED3643" w:rsidRDefault="00ED3643" w:rsidP="00ED3643">
      <w:pPr>
        <w:pStyle w:val="a4"/>
        <w:numPr>
          <w:ilvl w:val="0"/>
          <w:numId w:val="11"/>
        </w:numPr>
        <w:spacing w:beforeLines="50" w:before="180" w:line="300" w:lineRule="exact"/>
        <w:ind w:leftChars="0"/>
        <w:jc w:val="both"/>
        <w:rPr>
          <w:rFonts w:eastAsia="標楷體"/>
        </w:rPr>
      </w:pPr>
      <w:r w:rsidRPr="00ED3643">
        <w:rPr>
          <w:rFonts w:eastAsia="標楷體"/>
        </w:rPr>
        <w:t>The Advisor-Designated Subject is prepared by the student's advisor. If the advisor leaves the Institute (including retirement) and the co-advisor is not a full-time faculty member of this Institute, the designated subject shall, in principle, be replaced by a Core Competency Subject.</w:t>
      </w:r>
    </w:p>
    <w:p w14:paraId="787D661F" w14:textId="4D321948" w:rsidR="006B16E6" w:rsidRPr="006B16E6" w:rsidRDefault="006B16E6" w:rsidP="006B16E6">
      <w:pPr>
        <w:pStyle w:val="a4"/>
        <w:numPr>
          <w:ilvl w:val="0"/>
          <w:numId w:val="15"/>
        </w:numPr>
        <w:spacing w:beforeLines="50" w:before="180" w:line="300" w:lineRule="exact"/>
        <w:ind w:leftChars="0"/>
        <w:jc w:val="both"/>
        <w:rPr>
          <w:rFonts w:eastAsia="標楷體"/>
        </w:rPr>
      </w:pPr>
      <w:r w:rsidRPr="006B16E6">
        <w:rPr>
          <w:rFonts w:eastAsia="標楷體"/>
        </w:rPr>
        <w:t>Questions for each subject are prepared by the instructor of the respective course. Should an instructor refuse to provide questions or participate in the examination process, the following procedures apply:</w:t>
      </w:r>
    </w:p>
    <w:p w14:paraId="5861070C" w14:textId="270AA625" w:rsidR="006B16E6" w:rsidRPr="006B16E6" w:rsidRDefault="006B16E6" w:rsidP="006B16E6">
      <w:pPr>
        <w:pStyle w:val="a4"/>
        <w:numPr>
          <w:ilvl w:val="0"/>
          <w:numId w:val="14"/>
        </w:numPr>
        <w:spacing w:beforeLines="50" w:before="180" w:line="300" w:lineRule="exact"/>
        <w:ind w:leftChars="0"/>
        <w:jc w:val="both"/>
        <w:rPr>
          <w:rFonts w:eastAsia="標楷體"/>
        </w:rPr>
      </w:pPr>
      <w:r w:rsidRPr="006B16E6">
        <w:rPr>
          <w:rFonts w:eastAsia="標楷體"/>
        </w:rPr>
        <w:t>The instructor must submit an official memorandum explaining the reasons for refusing the student’s selection of the subject.</w:t>
      </w:r>
    </w:p>
    <w:p w14:paraId="5BE8BBDA" w14:textId="4BF4EF23" w:rsidR="006B16E6" w:rsidRPr="006B16E6" w:rsidRDefault="006B16E6" w:rsidP="006B16E6">
      <w:pPr>
        <w:pStyle w:val="a4"/>
        <w:numPr>
          <w:ilvl w:val="0"/>
          <w:numId w:val="14"/>
        </w:numPr>
        <w:spacing w:beforeLines="50" w:before="180" w:line="300" w:lineRule="exact"/>
        <w:ind w:leftChars="0"/>
        <w:jc w:val="both"/>
        <w:rPr>
          <w:rFonts w:eastAsia="標楷體"/>
        </w:rPr>
      </w:pPr>
      <w:r w:rsidRPr="006B16E6">
        <w:rPr>
          <w:rFonts w:eastAsia="標楷體"/>
        </w:rPr>
        <w:t>Upon completion of the official memorandum process, the Institute will coordinate with other faculty members who have taught the course or external scholars to formulate the questions and handle examination matters.</w:t>
      </w:r>
    </w:p>
    <w:p w14:paraId="6AEF5A14" w14:textId="42664EC9" w:rsidR="00B40BE6" w:rsidRDefault="00BF0EA5" w:rsidP="006B16E6">
      <w:pPr>
        <w:pStyle w:val="a4"/>
        <w:numPr>
          <w:ilvl w:val="0"/>
          <w:numId w:val="15"/>
        </w:numPr>
        <w:spacing w:beforeLines="50" w:before="180" w:line="300" w:lineRule="exact"/>
        <w:ind w:leftChars="0"/>
        <w:jc w:val="both"/>
        <w:rPr>
          <w:rFonts w:eastAsia="標楷體"/>
        </w:rPr>
      </w:pPr>
      <w:r w:rsidRPr="00BF0EA5">
        <w:rPr>
          <w:rFonts w:eastAsia="標楷體"/>
        </w:rPr>
        <w:t xml:space="preserve">The examination is closed-book with a duration of 120 minutes per subject. The passing score for each subject is 70. Grading is conducted by the instructors who provided the questions. </w:t>
      </w:r>
      <w:r w:rsidR="00B40BE6" w:rsidRPr="006B16E6">
        <w:rPr>
          <w:rFonts w:eastAsia="標楷體"/>
        </w:rPr>
        <w:t>Total scores reach the standard is pass,</w:t>
      </w:r>
      <w:r w:rsidR="00B40BE6" w:rsidRPr="006B16E6">
        <w:rPr>
          <w:rFonts w:eastAsia="標楷體"/>
          <w:bCs/>
          <w:shd w:val="clear" w:color="auto" w:fill="FBFBFB"/>
        </w:rPr>
        <w:t xml:space="preserve"> on the contrary,</w:t>
      </w:r>
      <w:r w:rsidR="00B40BE6" w:rsidRPr="006B16E6">
        <w:rPr>
          <w:rFonts w:eastAsia="標楷體"/>
        </w:rPr>
        <w:t xml:space="preserve"> is fail.</w:t>
      </w:r>
    </w:p>
    <w:p w14:paraId="69E94617" w14:textId="6381ED88" w:rsidR="00BF0EA5" w:rsidRDefault="00BF0EA5" w:rsidP="006B16E6">
      <w:pPr>
        <w:pStyle w:val="a4"/>
        <w:numPr>
          <w:ilvl w:val="0"/>
          <w:numId w:val="15"/>
        </w:numPr>
        <w:spacing w:beforeLines="50" w:before="180" w:line="300" w:lineRule="exact"/>
        <w:ind w:leftChars="0"/>
        <w:jc w:val="both"/>
        <w:rPr>
          <w:rFonts w:eastAsia="標楷體"/>
        </w:rPr>
      </w:pPr>
      <w:r w:rsidRPr="00BF0EA5">
        <w:rPr>
          <w:rFonts w:eastAsia="標楷體"/>
        </w:rPr>
        <w:t>Students must pass all subjects before the review of their doctoral dissertation proposal. Applications may be submitted in stages. Results will only be announced as "Pass" or "Fail."</w:t>
      </w:r>
    </w:p>
    <w:p w14:paraId="202565FB" w14:textId="078DD7AD" w:rsidR="00B40BE6" w:rsidRPr="00BF0EA5" w:rsidRDefault="00BF0EA5" w:rsidP="00BF0EA5">
      <w:pPr>
        <w:pStyle w:val="a4"/>
        <w:numPr>
          <w:ilvl w:val="0"/>
          <w:numId w:val="15"/>
        </w:numPr>
        <w:spacing w:beforeLines="50" w:before="180" w:line="300" w:lineRule="exact"/>
        <w:ind w:leftChars="0"/>
        <w:jc w:val="both"/>
        <w:rPr>
          <w:rFonts w:eastAsia="標楷體"/>
        </w:rPr>
      </w:pPr>
      <w:r w:rsidRPr="00BF0EA5">
        <w:rPr>
          <w:rFonts w:eastAsia="標楷體"/>
        </w:rPr>
        <w:t>Each subject may be retaken a maximum of twice. Absence after application is considered a failure (unless a postponement to the following semester is granted due to special circumstances). Students who fail after two retakes shall be dismissed from the program.</w:t>
      </w:r>
    </w:p>
    <w:p w14:paraId="55C621E1" w14:textId="6797B3AE" w:rsidR="00B40BE6" w:rsidRPr="00CD5B3D" w:rsidRDefault="00B40BE6" w:rsidP="00B40BE6">
      <w:pPr>
        <w:tabs>
          <w:tab w:val="num" w:pos="3848"/>
        </w:tabs>
        <w:spacing w:beforeLines="50" w:before="180"/>
        <w:ind w:leftChars="150" w:left="840" w:hangingChars="200" w:hanging="480"/>
        <w:jc w:val="both"/>
        <w:rPr>
          <w:rFonts w:eastAsia="標楷體"/>
          <w:b/>
        </w:rPr>
      </w:pPr>
      <w:r w:rsidRPr="00CD5B3D">
        <w:rPr>
          <w:rFonts w:eastAsia="標楷體"/>
          <w:b/>
        </w:rPr>
        <w:t xml:space="preserve">(B) </w:t>
      </w:r>
      <w:r w:rsidR="00BF0EA5">
        <w:rPr>
          <w:rFonts w:eastAsia="標楷體" w:hint="eastAsia"/>
          <w:b/>
        </w:rPr>
        <w:t xml:space="preserve"> </w:t>
      </w:r>
      <w:r w:rsidRPr="00CD5B3D">
        <w:rPr>
          <w:rFonts w:eastAsia="標楷體"/>
          <w:b/>
        </w:rPr>
        <w:t>Use other level I journals to apply for offsetting comprehensive examination</w:t>
      </w:r>
    </w:p>
    <w:p w14:paraId="2D0E8A75" w14:textId="77777777" w:rsidR="00B40BE6" w:rsidRPr="00CD5B3D" w:rsidRDefault="00B40BE6" w:rsidP="00B40BE6">
      <w:pPr>
        <w:spacing w:beforeLines="50" w:before="180" w:line="300" w:lineRule="exact"/>
        <w:ind w:leftChars="300" w:left="960" w:hangingChars="100" w:hanging="240"/>
        <w:jc w:val="both"/>
        <w:rPr>
          <w:rFonts w:eastAsia="標楷體"/>
          <w:kern w:val="0"/>
        </w:rPr>
      </w:pPr>
      <w:r w:rsidRPr="00CD5B3D">
        <w:rPr>
          <w:rFonts w:eastAsia="標楷體"/>
        </w:rPr>
        <w:t xml:space="preserve">1. </w:t>
      </w:r>
      <w:r w:rsidRPr="00CD5B3D">
        <w:rPr>
          <w:rFonts w:eastAsia="標楷體"/>
          <w:kern w:val="0"/>
        </w:rPr>
        <w:t>Calculating method</w:t>
      </w:r>
    </w:p>
    <w:p w14:paraId="21F73DD8" w14:textId="52B0E637" w:rsidR="00BF0EA5" w:rsidRDefault="00B40BE6" w:rsidP="00B40BE6">
      <w:pPr>
        <w:spacing w:beforeLines="50" w:before="180" w:line="300" w:lineRule="exact"/>
        <w:ind w:leftChars="400" w:left="1260" w:hangingChars="125" w:hanging="300"/>
        <w:jc w:val="both"/>
        <w:rPr>
          <w:rFonts w:eastAsia="標楷體"/>
          <w:kern w:val="0"/>
        </w:rPr>
      </w:pPr>
      <w:r w:rsidRPr="00CD5B3D">
        <w:rPr>
          <w:rFonts w:eastAsia="標楷體"/>
          <w:kern w:val="0"/>
        </w:rPr>
        <w:t>(1)</w:t>
      </w:r>
      <w:r w:rsidR="00BF0EA5" w:rsidRPr="00BF0EA5">
        <w:rPr>
          <w:rFonts w:eastAsia="標楷體"/>
          <w:kern w:val="0"/>
        </w:rPr>
        <w:t xml:space="preserve"> One SSCI journal article related to the exam field may waive two subjects.</w:t>
      </w:r>
    </w:p>
    <w:p w14:paraId="08D10318" w14:textId="77777777" w:rsidR="00B40BE6" w:rsidRPr="00CD5B3D" w:rsidRDefault="00B40BE6" w:rsidP="00B40BE6">
      <w:pPr>
        <w:tabs>
          <w:tab w:val="num" w:pos="3848"/>
        </w:tabs>
        <w:spacing w:beforeLines="50" w:before="180" w:line="300" w:lineRule="exact"/>
        <w:ind w:leftChars="400" w:left="1260" w:hangingChars="125" w:hanging="300"/>
        <w:jc w:val="both"/>
        <w:rPr>
          <w:rFonts w:eastAsia="標楷體"/>
          <w:kern w:val="0"/>
        </w:rPr>
      </w:pPr>
      <w:r w:rsidRPr="00CD5B3D">
        <w:rPr>
          <w:rFonts w:eastAsia="標楷體"/>
          <w:kern w:val="0"/>
        </w:rPr>
        <w:t>(2) Other level I or Ministry of Science and Technology Academic Disciplines journals which are evaluated level two (or above) can offset an examination subject.</w:t>
      </w:r>
    </w:p>
    <w:p w14:paraId="55706956" w14:textId="02DCD36A" w:rsidR="00B40BE6" w:rsidRPr="00CD5B3D" w:rsidRDefault="00B40BE6" w:rsidP="00B40BE6">
      <w:pPr>
        <w:tabs>
          <w:tab w:val="num" w:pos="3848"/>
        </w:tabs>
        <w:spacing w:beforeLines="50" w:before="180" w:line="300" w:lineRule="exact"/>
        <w:ind w:leftChars="300" w:left="960" w:hangingChars="100" w:hanging="240"/>
        <w:jc w:val="both"/>
        <w:rPr>
          <w:rFonts w:eastAsia="標楷體"/>
          <w:kern w:val="0"/>
        </w:rPr>
      </w:pPr>
      <w:r w:rsidRPr="00CD5B3D">
        <w:rPr>
          <w:rFonts w:eastAsia="標楷體"/>
          <w:kern w:val="0"/>
        </w:rPr>
        <w:t xml:space="preserve">2. </w:t>
      </w:r>
      <w:r w:rsidR="00BF0EA5" w:rsidRPr="00BF0EA5">
        <w:rPr>
          <w:rFonts w:eastAsia="標楷體"/>
          <w:kern w:val="0"/>
        </w:rPr>
        <w:t>Waivers for written examination subjects must be approved by the Institute Affairs Committee.</w:t>
      </w:r>
    </w:p>
    <w:p w14:paraId="5485FC3B" w14:textId="1DA056A5" w:rsidR="00B40BE6" w:rsidRPr="00CD5B3D" w:rsidRDefault="00B40BE6" w:rsidP="00B40BE6">
      <w:pPr>
        <w:tabs>
          <w:tab w:val="num" w:pos="3848"/>
        </w:tabs>
        <w:spacing w:beforeLines="50" w:before="180" w:line="300" w:lineRule="exact"/>
        <w:ind w:leftChars="300" w:left="960" w:hangingChars="100" w:hanging="240"/>
        <w:jc w:val="both"/>
        <w:rPr>
          <w:rFonts w:eastAsia="標楷體"/>
        </w:rPr>
      </w:pPr>
      <w:r w:rsidRPr="00CD5B3D">
        <w:rPr>
          <w:rFonts w:eastAsia="標楷體"/>
        </w:rPr>
        <w:t xml:space="preserve">3. </w:t>
      </w:r>
      <w:r w:rsidR="00BF0EA5" w:rsidRPr="00BF0EA5">
        <w:rPr>
          <w:rFonts w:eastAsia="標楷體"/>
        </w:rPr>
        <w:t>The journals used for waiver must be published after the student’s enrollment in the doctoral program.</w:t>
      </w:r>
    </w:p>
    <w:p w14:paraId="332A442B" w14:textId="16CA1A0A" w:rsidR="00B40BE6" w:rsidRPr="00CD5B3D" w:rsidRDefault="00B40BE6" w:rsidP="00B40BE6">
      <w:pPr>
        <w:tabs>
          <w:tab w:val="num" w:pos="3848"/>
        </w:tabs>
        <w:spacing w:beforeLines="50" w:before="180" w:line="300" w:lineRule="exact"/>
        <w:ind w:leftChars="300" w:left="960" w:hangingChars="100" w:hanging="240"/>
        <w:jc w:val="both"/>
        <w:rPr>
          <w:rFonts w:eastAsia="標楷體"/>
        </w:rPr>
      </w:pPr>
      <w:r w:rsidRPr="00CD5B3D">
        <w:rPr>
          <w:rFonts w:eastAsia="標楷體"/>
        </w:rPr>
        <w:t xml:space="preserve">4. </w:t>
      </w:r>
      <w:r w:rsidR="00B955EF" w:rsidRPr="00B955EF">
        <w:rPr>
          <w:rFonts w:eastAsia="標楷體"/>
        </w:rPr>
        <w:t>Journal articles used for qualifying exam waivers cannot be counted toward the publication points required for the final doctoral degree examination.</w:t>
      </w:r>
    </w:p>
    <w:p w14:paraId="7785EC33" w14:textId="122BEE48" w:rsidR="00B40BE6" w:rsidRDefault="00B40BE6" w:rsidP="00B40BE6">
      <w:pPr>
        <w:spacing w:beforeLines="50" w:before="180" w:line="300" w:lineRule="exact"/>
        <w:ind w:leftChars="300" w:left="960" w:hangingChars="100" w:hanging="240"/>
        <w:jc w:val="both"/>
        <w:rPr>
          <w:rFonts w:eastAsia="標楷體"/>
        </w:rPr>
      </w:pPr>
      <w:r w:rsidRPr="00CD5B3D">
        <w:rPr>
          <w:rFonts w:eastAsia="標楷體"/>
        </w:rPr>
        <w:t xml:space="preserve">5. </w:t>
      </w:r>
      <w:r w:rsidR="00B955EF" w:rsidRPr="00B955EF">
        <w:rPr>
          <w:rFonts w:eastAsia="標楷體"/>
        </w:rPr>
        <w:t>The applicant must be the first author (one faculty member from this Institute may be excluded from the authorship ranking).</w:t>
      </w:r>
    </w:p>
    <w:p w14:paraId="3A610338" w14:textId="36C544A0" w:rsidR="00814451" w:rsidRDefault="00814451">
      <w:pPr>
        <w:widowControl/>
        <w:rPr>
          <w:rFonts w:eastAsia="標楷體"/>
        </w:rPr>
      </w:pPr>
      <w:r>
        <w:rPr>
          <w:rFonts w:eastAsia="標楷體"/>
        </w:rPr>
        <w:br w:type="page"/>
      </w:r>
    </w:p>
    <w:p w14:paraId="67C364C6" w14:textId="2FCC57DA" w:rsidR="00B40BE6" w:rsidRPr="00CD5B3D" w:rsidRDefault="00B40BE6" w:rsidP="00B40BE6">
      <w:pPr>
        <w:tabs>
          <w:tab w:val="num" w:pos="3848"/>
        </w:tabs>
        <w:spacing w:beforeLines="50" w:before="180"/>
        <w:ind w:leftChars="150" w:left="840" w:hangingChars="200" w:hanging="480"/>
        <w:jc w:val="both"/>
        <w:rPr>
          <w:rFonts w:eastAsia="標楷體"/>
          <w:b/>
        </w:rPr>
      </w:pPr>
      <w:r w:rsidRPr="00CD5B3D">
        <w:rPr>
          <w:rFonts w:eastAsia="標楷體"/>
          <w:b/>
        </w:rPr>
        <w:lastRenderedPageBreak/>
        <w:t xml:space="preserve">(C) </w:t>
      </w:r>
      <w:r w:rsidR="00B955EF" w:rsidRPr="00B955EF">
        <w:rPr>
          <w:rFonts w:eastAsia="標楷體"/>
          <w:b/>
        </w:rPr>
        <w:t>Passing an Oral Examination by a Committee Convened by the Advisor</w:t>
      </w:r>
      <w:r w:rsidR="00B955EF" w:rsidRPr="00B955EF">
        <w:t xml:space="preserve"> </w:t>
      </w:r>
      <w:r w:rsidR="00B955EF" w:rsidRPr="00B955EF">
        <w:rPr>
          <w:rFonts w:eastAsia="標楷體"/>
          <w:b/>
        </w:rPr>
        <w:t>(Applicable if the first two methods do not meet the student's development and needs)</w:t>
      </w:r>
    </w:p>
    <w:p w14:paraId="4DFDF0B2" w14:textId="7A0AE8A6" w:rsidR="00B40BE6" w:rsidRPr="00B955EF" w:rsidRDefault="00B40BE6" w:rsidP="00B40BE6">
      <w:pPr>
        <w:spacing w:beforeLines="50" w:before="180" w:line="300" w:lineRule="exact"/>
        <w:ind w:leftChars="300" w:left="960" w:hangingChars="100" w:hanging="240"/>
        <w:jc w:val="both"/>
        <w:rPr>
          <w:rFonts w:eastAsia="標楷體"/>
          <w:bCs/>
        </w:rPr>
      </w:pPr>
      <w:r w:rsidRPr="00B955EF">
        <w:rPr>
          <w:rFonts w:eastAsia="標楷體"/>
          <w:bCs/>
        </w:rPr>
        <w:t>1.</w:t>
      </w:r>
      <w:r w:rsidR="00B955EF" w:rsidRPr="00B955EF">
        <w:rPr>
          <w:rFonts w:eastAsia="標楷體"/>
          <w:bCs/>
        </w:rPr>
        <w:t xml:space="preserve"> </w:t>
      </w:r>
      <w:r w:rsidR="00B955EF" w:rsidRPr="00B955EF">
        <w:rPr>
          <w:rFonts w:eastAsia="標楷體"/>
          <w:bCs/>
        </w:rPr>
        <w:t>Application Timeline: The examination is held once per semester. Applications must be submitted by the end of October for the first semester, or by the end of March for the second semester.</w:t>
      </w:r>
    </w:p>
    <w:p w14:paraId="2207C4AB" w14:textId="77777777" w:rsidR="00B40BE6" w:rsidRPr="00CD5B3D" w:rsidRDefault="00B40BE6" w:rsidP="00B40BE6">
      <w:pPr>
        <w:spacing w:beforeLines="50" w:before="180" w:line="300" w:lineRule="exact"/>
        <w:ind w:leftChars="300" w:left="960" w:hangingChars="100" w:hanging="240"/>
        <w:jc w:val="both"/>
        <w:rPr>
          <w:rFonts w:eastAsia="標楷體"/>
        </w:rPr>
      </w:pPr>
      <w:r w:rsidRPr="00CD5B3D">
        <w:rPr>
          <w:rFonts w:eastAsia="標楷體"/>
          <w:b/>
        </w:rPr>
        <w:t>2. The way of examination</w:t>
      </w:r>
      <w:r w:rsidRPr="00CD5B3D">
        <w:rPr>
          <w:rFonts w:eastAsia="標楷體" w:hint="eastAsia"/>
        </w:rPr>
        <w:t xml:space="preserve">: </w:t>
      </w:r>
      <w:r w:rsidRPr="00CD5B3D">
        <w:rPr>
          <w:rFonts w:eastAsia="標楷體"/>
        </w:rPr>
        <w:t>Doctoral students should take the oral censorship after they hand in report.</w:t>
      </w:r>
    </w:p>
    <w:p w14:paraId="1F108C18" w14:textId="4B62283A" w:rsidR="00B40BE6" w:rsidRPr="00CD5B3D" w:rsidRDefault="00B40BE6" w:rsidP="00B40BE6">
      <w:pPr>
        <w:spacing w:beforeLines="50" w:before="180" w:line="300" w:lineRule="exact"/>
        <w:ind w:leftChars="300" w:left="960" w:hangingChars="100" w:hanging="240"/>
        <w:jc w:val="both"/>
        <w:rPr>
          <w:rFonts w:eastAsia="標楷體"/>
        </w:rPr>
      </w:pPr>
      <w:r w:rsidRPr="00CD5B3D">
        <w:rPr>
          <w:rFonts w:eastAsia="標楷體"/>
          <w:b/>
        </w:rPr>
        <w:t>3.</w:t>
      </w:r>
      <w:r w:rsidRPr="00CD5B3D">
        <w:rPr>
          <w:rFonts w:eastAsia="標楷體"/>
          <w:b/>
          <w:shd w:val="clear" w:color="auto" w:fill="FFFFFF"/>
        </w:rPr>
        <w:t xml:space="preserve"> </w:t>
      </w:r>
      <w:r w:rsidR="00B955EF" w:rsidRPr="00B955EF">
        <w:rPr>
          <w:rFonts w:eastAsia="標楷體"/>
          <w:b/>
          <w:shd w:val="clear" w:color="auto" w:fill="FFFFFF"/>
        </w:rPr>
        <w:t xml:space="preserve">Assessment Content: </w:t>
      </w:r>
      <w:r w:rsidR="00B955EF" w:rsidRPr="00B955EF">
        <w:rPr>
          <w:rFonts w:eastAsia="標楷體"/>
          <w:bCs/>
          <w:shd w:val="clear" w:color="auto" w:fill="FFFFFF"/>
        </w:rPr>
        <w:t>The Director and the advisor will coordinate with relevant faculty to formulate questions (1 on-site test question and 3 assignment-based report questions). The examination occurs in December or May. Candidates must participate in the on-site test and submit four copies of the written reports within the designated time.</w:t>
      </w:r>
    </w:p>
    <w:p w14:paraId="58DB427E" w14:textId="4E0C2B90" w:rsidR="00B40BE6" w:rsidRPr="00CD5B3D" w:rsidRDefault="00B40BE6" w:rsidP="00B40BE6">
      <w:pPr>
        <w:shd w:val="clear" w:color="auto" w:fill="FFFFFF"/>
        <w:spacing w:beforeLines="50" w:before="180" w:line="300" w:lineRule="exact"/>
        <w:ind w:leftChars="300" w:left="960" w:hangingChars="100" w:hanging="240"/>
        <w:jc w:val="both"/>
        <w:rPr>
          <w:rFonts w:eastAsia="標楷體"/>
          <w:kern w:val="0"/>
          <w:lang w:bidi="hi-IN"/>
        </w:rPr>
      </w:pPr>
      <w:r w:rsidRPr="00CD5B3D">
        <w:rPr>
          <w:rFonts w:eastAsia="標楷體"/>
          <w:b/>
        </w:rPr>
        <w:t>4. Oral examination</w:t>
      </w:r>
      <w:r w:rsidRPr="00CD5B3D">
        <w:rPr>
          <w:rFonts w:eastAsia="標楷體" w:hint="eastAsia"/>
          <w:b/>
        </w:rPr>
        <w:t xml:space="preserve">: </w:t>
      </w:r>
      <w:r w:rsidR="00814451" w:rsidRPr="00814451">
        <w:rPr>
          <w:rFonts w:eastAsia="標楷體"/>
        </w:rPr>
        <w:t>The committee consists of 4 members: the Director, the advisor, and two relevant faculty members invited through coordination between the Director and advisor. The oral exam must be held within 3 weeks of report submission.</w:t>
      </w:r>
    </w:p>
    <w:p w14:paraId="6E92CA71" w14:textId="2A58538E" w:rsidR="00B40BE6" w:rsidRPr="00CD5B3D" w:rsidRDefault="00B40BE6" w:rsidP="00B40BE6">
      <w:pPr>
        <w:spacing w:beforeLines="50" w:before="180" w:line="300" w:lineRule="exact"/>
        <w:ind w:leftChars="300" w:left="960" w:hangingChars="100" w:hanging="240"/>
        <w:jc w:val="both"/>
        <w:rPr>
          <w:rFonts w:eastAsia="標楷體"/>
        </w:rPr>
      </w:pPr>
      <w:r w:rsidRPr="00CD5B3D">
        <w:rPr>
          <w:rFonts w:eastAsia="標楷體"/>
          <w:b/>
        </w:rPr>
        <w:t xml:space="preserve">5. </w:t>
      </w:r>
      <w:r w:rsidR="00814451" w:rsidRPr="00814451">
        <w:rPr>
          <w:rFonts w:eastAsia="標楷體"/>
          <w:b/>
        </w:rPr>
        <w:t>Grading:</w:t>
      </w:r>
      <w:r w:rsidR="00814451" w:rsidRPr="00814451">
        <w:rPr>
          <w:rFonts w:eastAsia="標楷體"/>
          <w:bCs/>
        </w:rPr>
        <w:t xml:space="preserve"> Based on a 100-point scale; 70 is the passing grade. Those who fail may retake the exam a maximum of twice. Absence after application counts as a failure. Students who fail after two retakes shall be dismissed.</w:t>
      </w:r>
    </w:p>
    <w:p w14:paraId="106D35C2" w14:textId="0EFA9A2E" w:rsidR="00B40BE6" w:rsidRPr="00CD5B3D" w:rsidRDefault="00814451" w:rsidP="00B40BE6">
      <w:pPr>
        <w:numPr>
          <w:ilvl w:val="0"/>
          <w:numId w:val="3"/>
        </w:numPr>
        <w:adjustRightInd w:val="0"/>
        <w:spacing w:beforeLines="50" w:before="180" w:line="300" w:lineRule="exact"/>
        <w:ind w:left="360" w:hangingChars="150" w:hanging="360"/>
        <w:jc w:val="both"/>
        <w:rPr>
          <w:rFonts w:eastAsia="標楷體"/>
        </w:rPr>
      </w:pPr>
      <w:r w:rsidRPr="00814451">
        <w:rPr>
          <w:rFonts w:eastAsia="標楷體"/>
        </w:rPr>
        <w:t>The qualifying examinations for doctoral students of this Institute shall be governed by the University’s "Regulations for Graduate Degree Examinations" and these implementation rules. Any matters not covered herein shall be resolved by the Institute Affairs Committee.</w:t>
      </w:r>
    </w:p>
    <w:p w14:paraId="12417567" w14:textId="77777777" w:rsidR="00814451" w:rsidRDefault="00814451" w:rsidP="00B40BE6">
      <w:pPr>
        <w:numPr>
          <w:ilvl w:val="0"/>
          <w:numId w:val="3"/>
        </w:numPr>
        <w:adjustRightInd w:val="0"/>
        <w:spacing w:beforeLines="50" w:before="180" w:line="300" w:lineRule="exact"/>
        <w:ind w:left="360" w:hangingChars="150" w:hanging="360"/>
        <w:jc w:val="both"/>
        <w:rPr>
          <w:rFonts w:eastAsia="標楷體"/>
        </w:rPr>
      </w:pPr>
      <w:r w:rsidRPr="00814451">
        <w:rPr>
          <w:rFonts w:eastAsia="標楷體"/>
        </w:rPr>
        <w:t>These rules shall be announced and implemented upon approval by the Institute Affairs Committee. The same process applies to any future amendments.</w:t>
      </w:r>
    </w:p>
    <w:p w14:paraId="3E338809" w14:textId="6C5FF3C0" w:rsidR="00B40BE6" w:rsidRPr="00677833" w:rsidRDefault="00B40BE6" w:rsidP="00B40BE6">
      <w:pPr>
        <w:snapToGrid w:val="0"/>
        <w:ind w:left="120" w:hangingChars="50" w:hanging="120"/>
        <w:jc w:val="both"/>
        <w:rPr>
          <w:rFonts w:eastAsia="標楷體"/>
          <w:color w:val="FF0000"/>
        </w:rPr>
      </w:pPr>
      <w:r w:rsidRPr="00677833">
        <w:rPr>
          <w:rFonts w:eastAsia="標楷體"/>
          <w:noProof/>
          <w:color w:val="FF0000"/>
        </w:rPr>
        <mc:AlternateContent>
          <mc:Choice Requires="wps">
            <w:drawing>
              <wp:anchor distT="0" distB="0" distL="114300" distR="114300" simplePos="0" relativeHeight="251659264" behindDoc="0" locked="0" layoutInCell="1" allowOverlap="1" wp14:anchorId="61F1074D" wp14:editId="3DCC943E">
                <wp:simplePos x="0" y="0"/>
                <wp:positionH relativeFrom="column">
                  <wp:posOffset>3505200</wp:posOffset>
                </wp:positionH>
                <wp:positionV relativeFrom="paragraph">
                  <wp:posOffset>118110</wp:posOffset>
                </wp:positionV>
                <wp:extent cx="2400300" cy="342900"/>
                <wp:effectExtent l="381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1F062" w14:textId="77777777" w:rsidR="00B40BE6" w:rsidRDefault="00B40BE6" w:rsidP="00B40BE6">
                            <w:r>
                              <w:rPr>
                                <w:rFonts w:hint="eastAsia"/>
                              </w:rPr>
                              <w:t>（博士生資格考試施行細則）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074D" id="_x0000_t202" coordsize="21600,21600" o:spt="202" path="m,l,21600r21600,l21600,xe">
                <v:stroke joinstyle="miter"/>
                <v:path gradientshapeok="t" o:connecttype="rect"/>
              </v:shapetype>
              <v:shape id="文字方塊 1" o:spid="_x0000_s1026" type="#_x0000_t202" style="position:absolute;left:0;text-align:left;margin-left:276pt;margin-top:9.3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" stroked="f">
                <v:textbox>
                  <w:txbxContent>
                    <w:p w14:paraId="76B1F062" w14:textId="77777777" w:rsidR="00B40BE6" w:rsidRDefault="00B40BE6" w:rsidP="00B40BE6">
                      <w:r>
                        <w:rPr>
                          <w:rFonts w:hint="eastAsia"/>
                        </w:rPr>
                        <w:t>（博士生資格考試施行細則）</w:t>
                      </w:r>
                    </w:p>
                  </w:txbxContent>
                </v:textbox>
              </v:shape>
            </w:pict>
          </mc:Fallback>
        </mc:AlternateContent>
      </w:r>
    </w:p>
    <w:p w14:paraId="59F69F74" w14:textId="77777777" w:rsidR="00B40BE6" w:rsidRPr="00677833" w:rsidRDefault="00B40BE6" w:rsidP="00B40BE6">
      <w:pPr>
        <w:pStyle w:val="2"/>
        <w:tabs>
          <w:tab w:val="left" w:pos="720"/>
        </w:tabs>
        <w:ind w:left="120" w:hangingChars="50" w:hanging="120"/>
        <w:jc w:val="both"/>
        <w:rPr>
          <w:rFonts w:eastAsia="標楷體"/>
          <w:color w:val="FF0000"/>
        </w:rPr>
      </w:pPr>
    </w:p>
    <w:p w14:paraId="65500B57" w14:textId="77777777" w:rsidR="00B40BE6" w:rsidRPr="00CD5B3D" w:rsidRDefault="00B40BE6" w:rsidP="00B40BE6">
      <w:pPr>
        <w:snapToGrid w:val="0"/>
        <w:spacing w:line="240" w:lineRule="atLeast"/>
        <w:jc w:val="center"/>
        <w:rPr>
          <w:rFonts w:eastAsia="標楷體"/>
          <w:b/>
          <w:sz w:val="36"/>
          <w:szCs w:val="36"/>
        </w:rPr>
      </w:pPr>
      <w:r w:rsidRPr="00677833">
        <w:rPr>
          <w:rFonts w:eastAsia="標楷體"/>
          <w:color w:val="FF0000"/>
        </w:rPr>
        <w:br w:type="page"/>
      </w:r>
      <w:r w:rsidRPr="00CD5B3D">
        <w:rPr>
          <w:rFonts w:eastAsia="標楷體"/>
          <w:b/>
          <w:sz w:val="36"/>
          <w:szCs w:val="36"/>
        </w:rPr>
        <w:lastRenderedPageBreak/>
        <w:t>雲林科技大學技術及職業教育研究所</w:t>
      </w:r>
      <w:r w:rsidRPr="00CD5B3D">
        <w:rPr>
          <w:rFonts w:eastAsia="標楷體" w:hint="eastAsia"/>
          <w:b/>
          <w:sz w:val="36"/>
          <w:szCs w:val="36"/>
        </w:rPr>
        <w:t xml:space="preserve"> </w:t>
      </w:r>
    </w:p>
    <w:p w14:paraId="4ACFFF84" w14:textId="77777777" w:rsidR="00B40BE6" w:rsidRPr="00CD5B3D" w:rsidRDefault="00B40BE6" w:rsidP="00B40BE6">
      <w:pPr>
        <w:snapToGrid w:val="0"/>
        <w:spacing w:line="240" w:lineRule="atLeast"/>
        <w:jc w:val="center"/>
        <w:rPr>
          <w:rFonts w:eastAsia="標楷體"/>
          <w:b/>
          <w:sz w:val="36"/>
          <w:szCs w:val="36"/>
        </w:rPr>
      </w:pPr>
      <w:r w:rsidRPr="00CD5B3D">
        <w:rPr>
          <w:rFonts w:eastAsia="標楷體"/>
          <w:b/>
          <w:sz w:val="36"/>
          <w:szCs w:val="36"/>
        </w:rPr>
        <w:t>博士生資格考考試科目表</w:t>
      </w:r>
    </w:p>
    <w:p w14:paraId="288A4EE9" w14:textId="77777777" w:rsidR="00B40BE6" w:rsidRPr="00CD5B3D" w:rsidRDefault="00B40BE6" w:rsidP="00B40BE6">
      <w:pPr>
        <w:snapToGrid w:val="0"/>
        <w:spacing w:afterLines="50" w:after="180" w:line="240" w:lineRule="atLeast"/>
        <w:ind w:leftChars="-177" w:left="-425" w:rightChars="-177" w:right="-425"/>
        <w:jc w:val="center"/>
        <w:rPr>
          <w:rFonts w:eastAsia="標楷體"/>
          <w:b/>
          <w:sz w:val="36"/>
          <w:szCs w:val="36"/>
        </w:rPr>
      </w:pPr>
      <w:r w:rsidRPr="00CD5B3D">
        <w:rPr>
          <w:rFonts w:eastAsia="標楷體"/>
          <w:b/>
          <w:sz w:val="36"/>
          <w:szCs w:val="36"/>
        </w:rPr>
        <w:t xml:space="preserve">Doctoral Students’ </w:t>
      </w:r>
      <w:r w:rsidRPr="00CD5B3D">
        <w:rPr>
          <w:rFonts w:eastAsia="標楷體"/>
          <w:b/>
          <w:sz w:val="36"/>
          <w:szCs w:val="36"/>
          <w:shd w:val="clear" w:color="auto" w:fill="FFFFFF"/>
        </w:rPr>
        <w:t>Subjects of Comprehensive Examinations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483"/>
        <w:gridCol w:w="2337"/>
        <w:gridCol w:w="9"/>
        <w:gridCol w:w="5801"/>
        <w:gridCol w:w="10"/>
      </w:tblGrid>
      <w:tr w:rsidR="00B40BE6" w:rsidRPr="00CD5B3D" w14:paraId="6095B83E" w14:textId="77777777" w:rsidTr="00FD406B">
        <w:trPr>
          <w:gridAfter w:val="1"/>
          <w:wAfter w:w="10" w:type="dxa"/>
          <w:trHeight w:val="591"/>
          <w:tblHeader/>
          <w:jc w:val="center"/>
        </w:trPr>
        <w:tc>
          <w:tcPr>
            <w:tcW w:w="1491" w:type="dxa"/>
            <w:gridSpan w:val="2"/>
            <w:shd w:val="clear" w:color="auto" w:fill="F3F3F3"/>
            <w:vAlign w:val="center"/>
          </w:tcPr>
          <w:p w14:paraId="5D01FFF5" w14:textId="77777777" w:rsidR="00B40BE6" w:rsidRPr="00CD5B3D" w:rsidRDefault="00B40BE6" w:rsidP="00FD406B">
            <w:pPr>
              <w:adjustRightInd w:val="0"/>
              <w:snapToGrid w:val="0"/>
              <w:spacing w:line="260" w:lineRule="exact"/>
              <w:jc w:val="center"/>
              <w:rPr>
                <w:rFonts w:eastAsia="標楷體"/>
                <w:b/>
                <w:szCs w:val="24"/>
              </w:rPr>
            </w:pPr>
            <w:r w:rsidRPr="00CD5B3D">
              <w:rPr>
                <w:rFonts w:eastAsia="標楷體"/>
                <w:b/>
                <w:szCs w:val="24"/>
              </w:rPr>
              <w:t>考科類別</w:t>
            </w:r>
            <w:r w:rsidRPr="00CD5B3D">
              <w:rPr>
                <w:rFonts w:eastAsia="標楷體" w:hint="eastAsia"/>
                <w:b/>
                <w:szCs w:val="24"/>
              </w:rPr>
              <w:t xml:space="preserve"> </w:t>
            </w:r>
            <w:r w:rsidRPr="00CD5B3D">
              <w:rPr>
                <w:rFonts w:eastAsia="標楷體"/>
                <w:b/>
                <w:sz w:val="20"/>
              </w:rPr>
              <w:t xml:space="preserve">Subjects </w:t>
            </w:r>
          </w:p>
        </w:tc>
        <w:tc>
          <w:tcPr>
            <w:tcW w:w="2337" w:type="dxa"/>
            <w:shd w:val="clear" w:color="auto" w:fill="F3F3F3"/>
            <w:vAlign w:val="center"/>
          </w:tcPr>
          <w:p w14:paraId="30C54680" w14:textId="77777777" w:rsidR="00B40BE6" w:rsidRPr="00CD5B3D" w:rsidRDefault="00B40BE6" w:rsidP="00FD406B">
            <w:pPr>
              <w:adjustRightInd w:val="0"/>
              <w:snapToGrid w:val="0"/>
              <w:spacing w:line="260" w:lineRule="exact"/>
              <w:jc w:val="center"/>
              <w:rPr>
                <w:rFonts w:eastAsia="標楷體"/>
                <w:b/>
                <w:sz w:val="20"/>
              </w:rPr>
            </w:pPr>
            <w:r w:rsidRPr="00CD5B3D">
              <w:rPr>
                <w:rFonts w:eastAsia="標楷體"/>
                <w:b/>
                <w:szCs w:val="24"/>
              </w:rPr>
              <w:t>課程類別</w:t>
            </w:r>
            <w:r w:rsidRPr="00CD5B3D">
              <w:rPr>
                <w:rFonts w:eastAsia="標楷體" w:hint="eastAsia"/>
                <w:b/>
                <w:szCs w:val="24"/>
              </w:rPr>
              <w:t xml:space="preserve"> </w:t>
            </w:r>
            <w:r w:rsidRPr="00CD5B3D">
              <w:rPr>
                <w:rFonts w:eastAsia="標楷體"/>
                <w:b/>
                <w:szCs w:val="24"/>
              </w:rPr>
              <w:br/>
            </w:r>
            <w:r w:rsidRPr="00CD5B3D">
              <w:rPr>
                <w:rFonts w:eastAsia="標楷體"/>
                <w:b/>
                <w:sz w:val="20"/>
              </w:rPr>
              <w:t>Course Types</w:t>
            </w:r>
          </w:p>
        </w:tc>
        <w:tc>
          <w:tcPr>
            <w:tcW w:w="5810" w:type="dxa"/>
            <w:gridSpan w:val="2"/>
            <w:shd w:val="clear" w:color="auto" w:fill="F3F3F3"/>
            <w:vAlign w:val="center"/>
          </w:tcPr>
          <w:p w14:paraId="1B2E76F1" w14:textId="77777777" w:rsidR="00B40BE6" w:rsidRPr="00CD5B3D" w:rsidRDefault="00B40BE6" w:rsidP="00FD406B">
            <w:pPr>
              <w:adjustRightInd w:val="0"/>
              <w:snapToGrid w:val="0"/>
              <w:spacing w:line="260" w:lineRule="exact"/>
              <w:jc w:val="center"/>
              <w:rPr>
                <w:rFonts w:eastAsia="標楷體"/>
                <w:b/>
                <w:sz w:val="20"/>
              </w:rPr>
            </w:pPr>
            <w:r w:rsidRPr="00CD5B3D">
              <w:rPr>
                <w:rFonts w:eastAsia="標楷體"/>
                <w:b/>
                <w:szCs w:val="24"/>
              </w:rPr>
              <w:t>選考科目</w:t>
            </w:r>
            <w:r w:rsidRPr="00CD5B3D">
              <w:rPr>
                <w:rFonts w:eastAsia="標楷體" w:hint="eastAsia"/>
                <w:b/>
                <w:szCs w:val="24"/>
              </w:rPr>
              <w:t xml:space="preserve"> </w:t>
            </w:r>
            <w:r w:rsidRPr="00CD5B3D">
              <w:rPr>
                <w:rFonts w:eastAsia="標楷體"/>
                <w:b/>
                <w:szCs w:val="24"/>
              </w:rPr>
              <w:br/>
            </w:r>
            <w:r w:rsidRPr="00CD5B3D">
              <w:rPr>
                <w:rFonts w:eastAsia="標楷體"/>
                <w:b/>
                <w:sz w:val="20"/>
              </w:rPr>
              <w:t>Optional Subjects</w:t>
            </w:r>
          </w:p>
        </w:tc>
      </w:tr>
      <w:tr w:rsidR="00B40BE6" w:rsidRPr="00CD5B3D" w14:paraId="66044851" w14:textId="77777777" w:rsidTr="00FD406B">
        <w:trPr>
          <w:gridBefore w:val="1"/>
          <w:wBefore w:w="8" w:type="dxa"/>
          <w:trHeight w:val="4100"/>
          <w:jc w:val="center"/>
        </w:trPr>
        <w:tc>
          <w:tcPr>
            <w:tcW w:w="1483" w:type="dxa"/>
            <w:vMerge w:val="restart"/>
            <w:shd w:val="clear" w:color="auto" w:fill="auto"/>
            <w:vAlign w:val="center"/>
          </w:tcPr>
          <w:p w14:paraId="6ACA014E" w14:textId="77777777" w:rsidR="00B40BE6" w:rsidRPr="00CD5B3D" w:rsidRDefault="00B40BE6" w:rsidP="00FD406B">
            <w:pPr>
              <w:adjustRightInd w:val="0"/>
              <w:snapToGrid w:val="0"/>
              <w:spacing w:afterLines="20" w:after="72" w:line="260" w:lineRule="exact"/>
              <w:jc w:val="center"/>
              <w:rPr>
                <w:rFonts w:eastAsia="標楷體"/>
                <w:szCs w:val="24"/>
              </w:rPr>
            </w:pPr>
            <w:r w:rsidRPr="00CD5B3D">
              <w:rPr>
                <w:rFonts w:eastAsia="標楷體"/>
                <w:szCs w:val="24"/>
              </w:rPr>
              <w:t>基本能力</w:t>
            </w:r>
          </w:p>
          <w:p w14:paraId="62A104EB" w14:textId="77777777" w:rsidR="00B40BE6" w:rsidRPr="00CD5B3D" w:rsidRDefault="00B40BE6" w:rsidP="00FD406B">
            <w:pPr>
              <w:adjustRightInd w:val="0"/>
              <w:snapToGrid w:val="0"/>
              <w:spacing w:line="260" w:lineRule="exact"/>
              <w:jc w:val="center"/>
              <w:rPr>
                <w:rFonts w:eastAsia="標楷體"/>
                <w:szCs w:val="24"/>
              </w:rPr>
            </w:pPr>
            <w:r w:rsidRPr="00CD5B3D">
              <w:rPr>
                <w:rFonts w:eastAsia="標楷體"/>
                <w:szCs w:val="24"/>
              </w:rPr>
              <w:t>考</w:t>
            </w:r>
            <w:r w:rsidRPr="00CD5B3D">
              <w:rPr>
                <w:rFonts w:eastAsia="標楷體" w:hint="eastAsia"/>
                <w:szCs w:val="24"/>
              </w:rPr>
              <w:t xml:space="preserve">　　</w:t>
            </w:r>
            <w:r w:rsidRPr="00CD5B3D">
              <w:rPr>
                <w:rFonts w:eastAsia="標楷體"/>
                <w:szCs w:val="24"/>
              </w:rPr>
              <w:t>科</w:t>
            </w:r>
          </w:p>
          <w:p w14:paraId="5646A7AD" w14:textId="77777777" w:rsidR="00B40BE6" w:rsidRPr="00CD5B3D" w:rsidRDefault="00B40BE6" w:rsidP="00FD406B">
            <w:pPr>
              <w:adjustRightInd w:val="0"/>
              <w:snapToGrid w:val="0"/>
              <w:spacing w:line="260" w:lineRule="exact"/>
              <w:rPr>
                <w:rFonts w:eastAsia="標楷體"/>
                <w:szCs w:val="24"/>
              </w:rPr>
            </w:pPr>
            <w:r w:rsidRPr="00CD5B3D">
              <w:rPr>
                <w:rFonts w:eastAsia="標楷體"/>
                <w:b/>
                <w:sz w:val="22"/>
                <w:szCs w:val="24"/>
              </w:rPr>
              <w:t>Basic ability subjects of examination</w:t>
            </w:r>
          </w:p>
        </w:tc>
        <w:tc>
          <w:tcPr>
            <w:tcW w:w="2346" w:type="dxa"/>
            <w:gridSpan w:val="2"/>
            <w:shd w:val="clear" w:color="auto" w:fill="auto"/>
            <w:vAlign w:val="center"/>
          </w:tcPr>
          <w:p w14:paraId="6F9B7ECC" w14:textId="77777777" w:rsidR="00B40BE6" w:rsidRPr="00CD5B3D" w:rsidRDefault="00B40BE6" w:rsidP="00FD406B">
            <w:pPr>
              <w:adjustRightInd w:val="0"/>
              <w:snapToGrid w:val="0"/>
              <w:spacing w:line="260" w:lineRule="exact"/>
              <w:rPr>
                <w:rFonts w:eastAsia="標楷體"/>
                <w:b/>
                <w:sz w:val="28"/>
                <w:szCs w:val="24"/>
              </w:rPr>
            </w:pPr>
            <w:r w:rsidRPr="00CD5B3D">
              <w:rPr>
                <w:rFonts w:eastAsia="標楷體"/>
                <w:b/>
                <w:sz w:val="28"/>
                <w:szCs w:val="24"/>
              </w:rPr>
              <w:t>核心課程</w:t>
            </w:r>
          </w:p>
          <w:p w14:paraId="3B5C47FA" w14:textId="77777777" w:rsidR="00B40BE6" w:rsidRPr="00CD5B3D" w:rsidRDefault="00B40BE6" w:rsidP="00FD406B">
            <w:pPr>
              <w:adjustRightInd w:val="0"/>
              <w:snapToGrid w:val="0"/>
              <w:spacing w:line="260" w:lineRule="exact"/>
              <w:rPr>
                <w:rFonts w:eastAsia="標楷體"/>
                <w:sz w:val="20"/>
                <w:szCs w:val="24"/>
              </w:rPr>
            </w:pPr>
            <w:r w:rsidRPr="00CD5B3D">
              <w:rPr>
                <w:rFonts w:eastAsia="標楷體"/>
                <w:sz w:val="20"/>
                <w:szCs w:val="24"/>
              </w:rPr>
              <w:t>(</w:t>
            </w:r>
            <w:r w:rsidRPr="00CD5B3D">
              <w:rPr>
                <w:rFonts w:eastAsia="標楷體"/>
                <w:sz w:val="20"/>
                <w:szCs w:val="24"/>
              </w:rPr>
              <w:t>考試科目</w:t>
            </w:r>
            <w:r w:rsidRPr="00CD5B3D">
              <w:rPr>
                <w:rFonts w:eastAsia="標楷體"/>
                <w:sz w:val="20"/>
                <w:szCs w:val="24"/>
              </w:rPr>
              <w:t>7</w:t>
            </w:r>
            <w:r w:rsidRPr="00CD5B3D">
              <w:rPr>
                <w:rFonts w:eastAsia="標楷體"/>
                <w:sz w:val="20"/>
                <w:szCs w:val="24"/>
              </w:rPr>
              <w:t>科選</w:t>
            </w:r>
            <w:r w:rsidRPr="00CD5B3D">
              <w:rPr>
                <w:rFonts w:eastAsia="標楷體"/>
                <w:sz w:val="20"/>
                <w:szCs w:val="24"/>
              </w:rPr>
              <w:t>1</w:t>
            </w:r>
            <w:r w:rsidRPr="00CD5B3D">
              <w:rPr>
                <w:rFonts w:eastAsia="標楷體"/>
                <w:sz w:val="20"/>
                <w:szCs w:val="24"/>
              </w:rPr>
              <w:t>科</w:t>
            </w:r>
            <w:r w:rsidRPr="00CD5B3D">
              <w:rPr>
                <w:rFonts w:eastAsia="標楷體"/>
                <w:sz w:val="20"/>
                <w:szCs w:val="24"/>
              </w:rPr>
              <w:t>)</w:t>
            </w:r>
          </w:p>
          <w:p w14:paraId="5E422300" w14:textId="77777777" w:rsidR="00B40BE6" w:rsidRPr="00CD5B3D" w:rsidRDefault="00B40BE6" w:rsidP="00FD406B">
            <w:pPr>
              <w:adjustRightInd w:val="0"/>
              <w:snapToGrid w:val="0"/>
              <w:spacing w:beforeLines="50" w:before="180" w:line="260" w:lineRule="exact"/>
              <w:rPr>
                <w:rFonts w:eastAsia="標楷體"/>
                <w:b/>
                <w:sz w:val="28"/>
                <w:szCs w:val="24"/>
              </w:rPr>
            </w:pPr>
            <w:r w:rsidRPr="00CD5B3D">
              <w:rPr>
                <w:rFonts w:eastAsia="標楷體"/>
                <w:b/>
                <w:sz w:val="28"/>
                <w:szCs w:val="24"/>
              </w:rPr>
              <w:t>Core c</w:t>
            </w:r>
            <w:r>
              <w:rPr>
                <w:rFonts w:eastAsia="標楷體"/>
                <w:b/>
                <w:sz w:val="28"/>
                <w:szCs w:val="24"/>
              </w:rPr>
              <w:t>ourses</w:t>
            </w:r>
          </w:p>
          <w:p w14:paraId="2A45A765" w14:textId="77777777" w:rsidR="00B40BE6" w:rsidRPr="00CD5B3D" w:rsidRDefault="00B40BE6" w:rsidP="00FD406B">
            <w:pPr>
              <w:adjustRightInd w:val="0"/>
              <w:snapToGrid w:val="0"/>
              <w:spacing w:line="260" w:lineRule="exact"/>
              <w:rPr>
                <w:rFonts w:eastAsia="標楷體"/>
                <w:szCs w:val="24"/>
              </w:rPr>
            </w:pPr>
            <w:r w:rsidRPr="00CD5B3D">
              <w:rPr>
                <w:rFonts w:eastAsia="標楷體"/>
                <w:sz w:val="20"/>
                <w:szCs w:val="24"/>
              </w:rPr>
              <w:t>(choose 1 from 7 subjects)</w:t>
            </w:r>
          </w:p>
        </w:tc>
        <w:tc>
          <w:tcPr>
            <w:tcW w:w="5811" w:type="dxa"/>
            <w:gridSpan w:val="2"/>
            <w:shd w:val="clear" w:color="auto" w:fill="auto"/>
          </w:tcPr>
          <w:p w14:paraId="4D3392DA" w14:textId="77777777" w:rsidR="00B40BE6" w:rsidRPr="00CD5B3D" w:rsidRDefault="00B40BE6" w:rsidP="00B40BE6">
            <w:pPr>
              <w:numPr>
                <w:ilvl w:val="0"/>
                <w:numId w:val="4"/>
              </w:numPr>
              <w:adjustRightInd w:val="0"/>
              <w:snapToGrid w:val="0"/>
              <w:spacing w:line="100" w:lineRule="atLeast"/>
              <w:ind w:left="357" w:hanging="357"/>
              <w:jc w:val="both"/>
              <w:rPr>
                <w:rFonts w:eastAsia="標楷體"/>
                <w:bCs/>
                <w:szCs w:val="24"/>
              </w:rPr>
            </w:pPr>
            <w:r w:rsidRPr="00CD5B3D">
              <w:rPr>
                <w:rFonts w:eastAsia="標楷體"/>
                <w:bCs/>
                <w:szCs w:val="24"/>
              </w:rPr>
              <w:t>技職教育歷史與哲學</w:t>
            </w:r>
          </w:p>
          <w:p w14:paraId="4E9581C5" w14:textId="77777777" w:rsidR="00B40BE6" w:rsidRPr="00CD5B3D" w:rsidRDefault="00B40BE6" w:rsidP="00FD406B">
            <w:pPr>
              <w:adjustRightInd w:val="0"/>
              <w:snapToGrid w:val="0"/>
              <w:spacing w:line="100" w:lineRule="atLeast"/>
              <w:ind w:leftChars="100" w:left="240" w:rightChars="-30" w:right="-72"/>
              <w:rPr>
                <w:rFonts w:eastAsia="標楷體"/>
                <w:bCs/>
                <w:sz w:val="20"/>
              </w:rPr>
            </w:pPr>
            <w:r w:rsidRPr="00CD5B3D">
              <w:rPr>
                <w:rFonts w:eastAsia="標楷體"/>
                <w:sz w:val="20"/>
                <w:shd w:val="clear" w:color="auto" w:fill="FFFFFF"/>
              </w:rPr>
              <w:t>History and Philosophy of Technological and Vocational Education</w:t>
            </w:r>
          </w:p>
          <w:p w14:paraId="58A054D5" w14:textId="77777777" w:rsidR="00B40BE6" w:rsidRPr="00CD5B3D" w:rsidRDefault="00B40BE6" w:rsidP="00B40BE6">
            <w:pPr>
              <w:numPr>
                <w:ilvl w:val="0"/>
                <w:numId w:val="4"/>
              </w:numPr>
              <w:adjustRightInd w:val="0"/>
              <w:snapToGrid w:val="0"/>
              <w:spacing w:line="100" w:lineRule="atLeast"/>
              <w:ind w:left="357" w:hanging="357"/>
              <w:jc w:val="both"/>
              <w:rPr>
                <w:rFonts w:eastAsia="標楷體"/>
                <w:bCs/>
                <w:szCs w:val="24"/>
              </w:rPr>
            </w:pPr>
            <w:r w:rsidRPr="00CD5B3D">
              <w:rPr>
                <w:rFonts w:eastAsia="標楷體"/>
                <w:bCs/>
                <w:szCs w:val="24"/>
              </w:rPr>
              <w:t>技職教育理論與實際</w:t>
            </w:r>
          </w:p>
          <w:p w14:paraId="19E3494C" w14:textId="77777777" w:rsidR="00B40BE6" w:rsidRPr="00CD5B3D" w:rsidRDefault="00B40BE6" w:rsidP="00FD406B">
            <w:pPr>
              <w:adjustRightInd w:val="0"/>
              <w:snapToGrid w:val="0"/>
              <w:spacing w:line="100" w:lineRule="atLeast"/>
              <w:ind w:leftChars="100" w:left="240"/>
              <w:rPr>
                <w:rFonts w:eastAsia="標楷體"/>
                <w:bCs/>
                <w:sz w:val="20"/>
              </w:rPr>
            </w:pPr>
            <w:r w:rsidRPr="00CD5B3D">
              <w:rPr>
                <w:rFonts w:eastAsia="標楷體"/>
                <w:bCs/>
                <w:sz w:val="20"/>
                <w:shd w:val="clear" w:color="auto" w:fill="FBFBFB"/>
              </w:rPr>
              <w:t>Theoretical Foundations and Practice of Technological and Vocational Education</w:t>
            </w:r>
          </w:p>
          <w:p w14:paraId="3F7F9AE3" w14:textId="77777777" w:rsidR="00B40BE6" w:rsidRPr="00CD5B3D" w:rsidRDefault="00B40BE6" w:rsidP="00B40BE6">
            <w:pPr>
              <w:numPr>
                <w:ilvl w:val="0"/>
                <w:numId w:val="4"/>
              </w:numPr>
              <w:adjustRightInd w:val="0"/>
              <w:snapToGrid w:val="0"/>
              <w:spacing w:line="100" w:lineRule="atLeast"/>
              <w:ind w:left="357" w:hanging="357"/>
              <w:jc w:val="both"/>
              <w:rPr>
                <w:rFonts w:eastAsia="標楷體"/>
                <w:bCs/>
                <w:szCs w:val="24"/>
              </w:rPr>
            </w:pPr>
            <w:r w:rsidRPr="00CD5B3D">
              <w:rPr>
                <w:rFonts w:eastAsia="標楷體"/>
                <w:bCs/>
                <w:szCs w:val="24"/>
              </w:rPr>
              <w:t>比較技職教育研究</w:t>
            </w:r>
          </w:p>
          <w:p w14:paraId="1D65CBBC" w14:textId="77777777" w:rsidR="00B40BE6" w:rsidRPr="00CD5B3D" w:rsidRDefault="00B40BE6" w:rsidP="00FD406B">
            <w:pPr>
              <w:adjustRightInd w:val="0"/>
              <w:snapToGrid w:val="0"/>
              <w:spacing w:line="100" w:lineRule="atLeast"/>
              <w:ind w:left="240" w:hangingChars="100" w:hanging="240"/>
              <w:rPr>
                <w:rFonts w:eastAsia="標楷體"/>
                <w:bCs/>
                <w:sz w:val="20"/>
              </w:rPr>
            </w:pPr>
            <w:r w:rsidRPr="00CD5B3D">
              <w:rPr>
                <w:rFonts w:eastAsia="標楷體"/>
                <w:szCs w:val="24"/>
                <w:shd w:val="clear" w:color="auto" w:fill="FFFFFF"/>
              </w:rPr>
              <w:t xml:space="preserve">  </w:t>
            </w:r>
            <w:r w:rsidRPr="00CD5B3D">
              <w:rPr>
                <w:rFonts w:eastAsia="標楷體"/>
                <w:sz w:val="20"/>
                <w:shd w:val="clear" w:color="auto" w:fill="FFFFFF"/>
              </w:rPr>
              <w:t>Comparative Technological and Vocational   Education</w:t>
            </w:r>
          </w:p>
          <w:p w14:paraId="6545B9E5" w14:textId="77777777" w:rsidR="00B40BE6" w:rsidRPr="00CD5B3D" w:rsidRDefault="00B40BE6" w:rsidP="00FD406B">
            <w:pPr>
              <w:adjustRightInd w:val="0"/>
              <w:snapToGrid w:val="0"/>
              <w:spacing w:line="100" w:lineRule="atLeast"/>
              <w:ind w:left="357" w:hanging="357"/>
              <w:jc w:val="both"/>
              <w:rPr>
                <w:rFonts w:eastAsia="標楷體"/>
                <w:bCs/>
                <w:szCs w:val="24"/>
              </w:rPr>
            </w:pPr>
            <w:r w:rsidRPr="00CD5B3D">
              <w:rPr>
                <w:rFonts w:eastAsia="標楷體"/>
                <w:bCs/>
                <w:szCs w:val="24"/>
              </w:rPr>
              <w:t>4.</w:t>
            </w:r>
            <w:r w:rsidRPr="00CD5B3D">
              <w:rPr>
                <w:rFonts w:eastAsia="標楷體"/>
                <w:bCs/>
                <w:szCs w:val="24"/>
              </w:rPr>
              <w:t>技職教育學方法論專題研究</w:t>
            </w:r>
          </w:p>
          <w:p w14:paraId="3EF974C9" w14:textId="77777777" w:rsidR="00B40BE6" w:rsidRPr="00CD5B3D" w:rsidRDefault="00B40BE6" w:rsidP="00FD406B">
            <w:pPr>
              <w:adjustRightInd w:val="0"/>
              <w:snapToGrid w:val="0"/>
              <w:spacing w:line="100" w:lineRule="atLeast"/>
              <w:ind w:leftChars="100" w:left="240"/>
              <w:rPr>
                <w:rFonts w:eastAsia="標楷體"/>
                <w:bCs/>
                <w:sz w:val="20"/>
              </w:rPr>
            </w:pPr>
            <w:r w:rsidRPr="00CD5B3D">
              <w:rPr>
                <w:rFonts w:eastAsia="標楷體"/>
                <w:sz w:val="20"/>
                <w:shd w:val="clear" w:color="auto" w:fill="FFFFFF"/>
              </w:rPr>
              <w:t>Research Methodology of Technological Education</w:t>
            </w:r>
          </w:p>
          <w:p w14:paraId="030220C2" w14:textId="77777777" w:rsidR="00B40BE6" w:rsidRPr="00CD5B3D" w:rsidRDefault="00B40BE6" w:rsidP="00FD406B">
            <w:pPr>
              <w:adjustRightInd w:val="0"/>
              <w:snapToGrid w:val="0"/>
              <w:spacing w:line="100" w:lineRule="atLeast"/>
              <w:ind w:left="357" w:hanging="357"/>
              <w:jc w:val="both"/>
              <w:rPr>
                <w:rFonts w:eastAsia="標楷體"/>
                <w:bCs/>
                <w:szCs w:val="24"/>
              </w:rPr>
            </w:pPr>
            <w:r w:rsidRPr="00CD5B3D">
              <w:rPr>
                <w:rFonts w:eastAsia="標楷體"/>
                <w:bCs/>
                <w:szCs w:val="24"/>
              </w:rPr>
              <w:t>5.</w:t>
            </w:r>
            <w:r w:rsidRPr="00CD5B3D">
              <w:rPr>
                <w:rFonts w:eastAsia="標楷體"/>
                <w:bCs/>
                <w:szCs w:val="24"/>
              </w:rPr>
              <w:t>知識與方法論</w:t>
            </w:r>
          </w:p>
          <w:p w14:paraId="03AF6EDF" w14:textId="77777777" w:rsidR="00B40BE6" w:rsidRPr="00CD5B3D" w:rsidRDefault="00B40BE6" w:rsidP="00FD406B">
            <w:pPr>
              <w:adjustRightInd w:val="0"/>
              <w:snapToGrid w:val="0"/>
              <w:spacing w:line="100" w:lineRule="atLeast"/>
              <w:ind w:firstLineChars="100" w:firstLine="200"/>
              <w:jc w:val="both"/>
              <w:rPr>
                <w:rFonts w:eastAsia="標楷體"/>
                <w:bCs/>
                <w:sz w:val="20"/>
              </w:rPr>
            </w:pPr>
            <w:r w:rsidRPr="00CD5B3D">
              <w:rPr>
                <w:rFonts w:eastAsia="標楷體"/>
                <w:sz w:val="20"/>
                <w:shd w:val="clear" w:color="auto" w:fill="FFFFFF"/>
              </w:rPr>
              <w:t>Epistemology and Methodology</w:t>
            </w:r>
          </w:p>
          <w:p w14:paraId="7C3D23EC" w14:textId="77777777" w:rsidR="00B40BE6" w:rsidRPr="00CD5B3D" w:rsidRDefault="00B40BE6" w:rsidP="00FD406B">
            <w:pPr>
              <w:adjustRightInd w:val="0"/>
              <w:snapToGrid w:val="0"/>
              <w:spacing w:line="100" w:lineRule="atLeast"/>
              <w:ind w:left="357" w:hanging="357"/>
              <w:jc w:val="both"/>
              <w:rPr>
                <w:rFonts w:eastAsia="標楷體"/>
                <w:bCs/>
                <w:szCs w:val="24"/>
              </w:rPr>
            </w:pPr>
            <w:r w:rsidRPr="00CD5B3D">
              <w:rPr>
                <w:rFonts w:eastAsia="標楷體"/>
                <w:bCs/>
                <w:szCs w:val="24"/>
              </w:rPr>
              <w:t>6.</w:t>
            </w:r>
            <w:r w:rsidRPr="00CD5B3D">
              <w:rPr>
                <w:rFonts w:eastAsia="標楷體"/>
                <w:bCs/>
                <w:szCs w:val="24"/>
              </w:rPr>
              <w:t>勞動市場分析專題研究</w:t>
            </w:r>
          </w:p>
          <w:p w14:paraId="50980D6F" w14:textId="77777777" w:rsidR="00B40BE6" w:rsidRPr="00CD5B3D" w:rsidRDefault="00B40BE6" w:rsidP="00FD406B">
            <w:pPr>
              <w:adjustRightInd w:val="0"/>
              <w:snapToGrid w:val="0"/>
              <w:spacing w:line="100" w:lineRule="atLeast"/>
              <w:ind w:leftChars="100" w:left="240"/>
              <w:jc w:val="both"/>
              <w:rPr>
                <w:rFonts w:eastAsia="標楷體"/>
                <w:sz w:val="20"/>
                <w:shd w:val="clear" w:color="auto" w:fill="FFFFFF"/>
              </w:rPr>
            </w:pPr>
            <w:r w:rsidRPr="00CD5B3D">
              <w:rPr>
                <w:rFonts w:eastAsia="標楷體"/>
                <w:sz w:val="20"/>
                <w:shd w:val="clear" w:color="auto" w:fill="FFFFFF"/>
              </w:rPr>
              <w:t>Study on Labor Market Analysis</w:t>
            </w:r>
          </w:p>
          <w:p w14:paraId="74483DDA" w14:textId="77777777" w:rsidR="00B40BE6" w:rsidRPr="00CD5B3D" w:rsidRDefault="00B40BE6" w:rsidP="00FD406B">
            <w:pPr>
              <w:adjustRightInd w:val="0"/>
              <w:snapToGrid w:val="0"/>
              <w:spacing w:line="100" w:lineRule="atLeast"/>
              <w:ind w:left="357" w:hanging="357"/>
              <w:jc w:val="both"/>
              <w:rPr>
                <w:rFonts w:eastAsia="標楷體"/>
                <w:szCs w:val="24"/>
              </w:rPr>
            </w:pPr>
            <w:r w:rsidRPr="00CD5B3D">
              <w:rPr>
                <w:rFonts w:eastAsia="標楷體"/>
                <w:szCs w:val="24"/>
              </w:rPr>
              <w:t>7.</w:t>
            </w:r>
            <w:r w:rsidRPr="00CD5B3D">
              <w:rPr>
                <w:rFonts w:eastAsia="標楷體"/>
                <w:szCs w:val="24"/>
              </w:rPr>
              <w:t>職能分析方法</w:t>
            </w:r>
          </w:p>
          <w:p w14:paraId="1279CEEE" w14:textId="77777777" w:rsidR="00B40BE6" w:rsidRPr="00CD5B3D" w:rsidRDefault="00B40BE6" w:rsidP="00FD406B">
            <w:pPr>
              <w:adjustRightInd w:val="0"/>
              <w:snapToGrid w:val="0"/>
              <w:spacing w:line="100" w:lineRule="atLeast"/>
              <w:jc w:val="both"/>
              <w:rPr>
                <w:rFonts w:eastAsia="標楷體"/>
                <w:sz w:val="20"/>
              </w:rPr>
            </w:pPr>
            <w:r w:rsidRPr="00CD5B3D">
              <w:rPr>
                <w:rFonts w:eastAsia="標楷體"/>
                <w:szCs w:val="24"/>
              </w:rPr>
              <w:t xml:space="preserve"> </w:t>
            </w:r>
            <w:r w:rsidRPr="00CD5B3D">
              <w:rPr>
                <w:rFonts w:eastAsia="標楷體"/>
                <w:sz w:val="20"/>
              </w:rPr>
              <w:t xml:space="preserve"> Competency Analysis Method</w:t>
            </w:r>
          </w:p>
        </w:tc>
      </w:tr>
      <w:tr w:rsidR="00B40BE6" w:rsidRPr="00CD5B3D" w14:paraId="23D30DEA" w14:textId="77777777" w:rsidTr="00FD406B">
        <w:trPr>
          <w:gridBefore w:val="1"/>
          <w:wBefore w:w="8" w:type="dxa"/>
          <w:trHeight w:val="415"/>
          <w:jc w:val="center"/>
        </w:trPr>
        <w:tc>
          <w:tcPr>
            <w:tcW w:w="1483" w:type="dxa"/>
            <w:vMerge/>
            <w:shd w:val="clear" w:color="auto" w:fill="auto"/>
            <w:vAlign w:val="center"/>
          </w:tcPr>
          <w:p w14:paraId="4D572CAF" w14:textId="77777777" w:rsidR="00B40BE6" w:rsidRPr="00CD5B3D" w:rsidRDefault="00B40BE6" w:rsidP="00FD406B">
            <w:pPr>
              <w:adjustRightInd w:val="0"/>
              <w:snapToGrid w:val="0"/>
              <w:spacing w:line="260" w:lineRule="exact"/>
              <w:jc w:val="both"/>
              <w:rPr>
                <w:rFonts w:eastAsia="標楷體"/>
                <w:szCs w:val="24"/>
              </w:rPr>
            </w:pPr>
          </w:p>
        </w:tc>
        <w:tc>
          <w:tcPr>
            <w:tcW w:w="2346" w:type="dxa"/>
            <w:gridSpan w:val="2"/>
            <w:shd w:val="clear" w:color="auto" w:fill="auto"/>
            <w:vAlign w:val="center"/>
          </w:tcPr>
          <w:p w14:paraId="245A0693" w14:textId="77777777" w:rsidR="00B40BE6" w:rsidRPr="00CD5B3D" w:rsidRDefault="00B40BE6" w:rsidP="00FD406B">
            <w:pPr>
              <w:adjustRightInd w:val="0"/>
              <w:snapToGrid w:val="0"/>
              <w:spacing w:line="260" w:lineRule="exact"/>
              <w:rPr>
                <w:rFonts w:eastAsia="標楷體"/>
                <w:b/>
                <w:sz w:val="28"/>
                <w:szCs w:val="24"/>
              </w:rPr>
            </w:pPr>
            <w:r w:rsidRPr="00CD5B3D">
              <w:rPr>
                <w:rFonts w:eastAsia="標楷體"/>
                <w:b/>
                <w:sz w:val="28"/>
                <w:szCs w:val="24"/>
              </w:rPr>
              <w:t>研究方法課程</w:t>
            </w:r>
          </w:p>
          <w:p w14:paraId="2CBAF671" w14:textId="77777777" w:rsidR="00B40BE6" w:rsidRPr="00CD5B3D" w:rsidRDefault="00B40BE6" w:rsidP="00FD406B">
            <w:pPr>
              <w:adjustRightInd w:val="0"/>
              <w:snapToGrid w:val="0"/>
              <w:spacing w:line="260" w:lineRule="exact"/>
              <w:rPr>
                <w:rFonts w:eastAsia="標楷體"/>
                <w:sz w:val="20"/>
                <w:szCs w:val="24"/>
              </w:rPr>
            </w:pPr>
            <w:r w:rsidRPr="00CD5B3D">
              <w:rPr>
                <w:rFonts w:eastAsia="標楷體"/>
                <w:sz w:val="20"/>
                <w:szCs w:val="24"/>
              </w:rPr>
              <w:t>(</w:t>
            </w:r>
            <w:r w:rsidRPr="00CD5B3D">
              <w:rPr>
                <w:rFonts w:eastAsia="標楷體"/>
                <w:sz w:val="20"/>
                <w:szCs w:val="24"/>
              </w:rPr>
              <w:t>考試科目</w:t>
            </w:r>
            <w:r w:rsidRPr="00CD5B3D">
              <w:rPr>
                <w:rFonts w:eastAsia="標楷體" w:hint="eastAsia"/>
                <w:sz w:val="20"/>
                <w:szCs w:val="24"/>
              </w:rPr>
              <w:t>10</w:t>
            </w:r>
            <w:r w:rsidRPr="00CD5B3D">
              <w:rPr>
                <w:rFonts w:eastAsia="標楷體"/>
                <w:sz w:val="20"/>
                <w:szCs w:val="24"/>
              </w:rPr>
              <w:t>科選</w:t>
            </w:r>
            <w:r w:rsidRPr="00CD5B3D">
              <w:rPr>
                <w:rFonts w:eastAsia="標楷體"/>
                <w:sz w:val="20"/>
                <w:szCs w:val="24"/>
              </w:rPr>
              <w:t>1</w:t>
            </w:r>
            <w:r w:rsidRPr="00CD5B3D">
              <w:rPr>
                <w:rFonts w:eastAsia="標楷體"/>
                <w:sz w:val="20"/>
                <w:szCs w:val="24"/>
              </w:rPr>
              <w:t>科</w:t>
            </w:r>
            <w:r w:rsidRPr="00CD5B3D">
              <w:rPr>
                <w:rFonts w:eastAsia="標楷體"/>
                <w:sz w:val="20"/>
                <w:szCs w:val="24"/>
              </w:rPr>
              <w:t>)</w:t>
            </w:r>
          </w:p>
          <w:p w14:paraId="1B8D1A01" w14:textId="77777777" w:rsidR="00B40BE6" w:rsidRPr="00CD5B3D" w:rsidRDefault="00B40BE6" w:rsidP="00FD406B">
            <w:pPr>
              <w:adjustRightInd w:val="0"/>
              <w:snapToGrid w:val="0"/>
              <w:spacing w:beforeLines="50" w:before="180" w:line="260" w:lineRule="exact"/>
              <w:rPr>
                <w:rFonts w:eastAsia="標楷體"/>
                <w:szCs w:val="24"/>
              </w:rPr>
            </w:pPr>
            <w:r w:rsidRPr="00CD5B3D">
              <w:rPr>
                <w:rFonts w:eastAsia="標楷體"/>
                <w:b/>
                <w:sz w:val="28"/>
                <w:szCs w:val="24"/>
              </w:rPr>
              <w:t>Research method courses</w:t>
            </w:r>
            <w:r w:rsidRPr="00CD5B3D">
              <w:rPr>
                <w:rFonts w:eastAsia="標楷體"/>
                <w:szCs w:val="24"/>
              </w:rPr>
              <w:t xml:space="preserve"> </w:t>
            </w:r>
            <w:r w:rsidRPr="00CD5B3D">
              <w:rPr>
                <w:rFonts w:eastAsia="標楷體"/>
                <w:szCs w:val="24"/>
              </w:rPr>
              <w:br/>
            </w:r>
            <w:r w:rsidRPr="00CD5B3D">
              <w:rPr>
                <w:rFonts w:eastAsia="標楷體"/>
                <w:sz w:val="22"/>
                <w:szCs w:val="24"/>
              </w:rPr>
              <w:t xml:space="preserve">(choose 1 from </w:t>
            </w:r>
            <w:r w:rsidRPr="00CD5B3D">
              <w:rPr>
                <w:rFonts w:eastAsia="標楷體" w:hint="eastAsia"/>
                <w:sz w:val="22"/>
                <w:szCs w:val="24"/>
              </w:rPr>
              <w:t>10</w:t>
            </w:r>
            <w:r w:rsidRPr="00CD5B3D">
              <w:rPr>
                <w:rFonts w:eastAsia="標楷體"/>
                <w:sz w:val="22"/>
                <w:szCs w:val="24"/>
              </w:rPr>
              <w:t xml:space="preserve"> subjects)</w:t>
            </w:r>
          </w:p>
        </w:tc>
        <w:tc>
          <w:tcPr>
            <w:tcW w:w="5811" w:type="dxa"/>
            <w:gridSpan w:val="2"/>
            <w:shd w:val="clear" w:color="auto" w:fill="auto"/>
          </w:tcPr>
          <w:p w14:paraId="0F2B60BF" w14:textId="77777777" w:rsidR="00B40BE6" w:rsidRPr="00CD5B3D" w:rsidRDefault="00B40BE6" w:rsidP="00B40BE6">
            <w:pPr>
              <w:numPr>
                <w:ilvl w:val="0"/>
                <w:numId w:val="6"/>
              </w:numPr>
              <w:adjustRightInd w:val="0"/>
              <w:snapToGrid w:val="0"/>
              <w:ind w:left="357" w:hanging="357"/>
              <w:jc w:val="both"/>
              <w:rPr>
                <w:rFonts w:eastAsia="標楷體"/>
                <w:bCs/>
                <w:szCs w:val="24"/>
              </w:rPr>
            </w:pPr>
            <w:r w:rsidRPr="00CD5B3D">
              <w:rPr>
                <w:rFonts w:eastAsia="標楷體"/>
                <w:bCs/>
                <w:szCs w:val="24"/>
              </w:rPr>
              <w:t>技職教育研究法</w:t>
            </w:r>
          </w:p>
          <w:p w14:paraId="0E2B44B3" w14:textId="77777777" w:rsidR="00B40BE6" w:rsidRPr="00CD5B3D" w:rsidRDefault="00B40BE6" w:rsidP="00FD406B">
            <w:pPr>
              <w:adjustRightInd w:val="0"/>
              <w:snapToGrid w:val="0"/>
              <w:ind w:leftChars="100" w:left="240"/>
              <w:rPr>
                <w:rFonts w:eastAsia="標楷體"/>
                <w:sz w:val="20"/>
                <w:shd w:val="clear" w:color="auto" w:fill="FFFFFF"/>
              </w:rPr>
            </w:pPr>
            <w:r w:rsidRPr="00CD5B3D">
              <w:rPr>
                <w:rFonts w:eastAsia="標楷體"/>
                <w:sz w:val="20"/>
                <w:shd w:val="clear" w:color="auto" w:fill="FFFFFF"/>
              </w:rPr>
              <w:t>Research Methodology in Technological and Vocational Education</w:t>
            </w:r>
          </w:p>
          <w:p w14:paraId="2CF73B2E" w14:textId="77777777" w:rsidR="00B40BE6" w:rsidRPr="00CD5B3D" w:rsidRDefault="00B40BE6" w:rsidP="00FD406B">
            <w:pPr>
              <w:adjustRightInd w:val="0"/>
              <w:snapToGrid w:val="0"/>
              <w:ind w:left="357" w:hanging="357"/>
              <w:jc w:val="both"/>
              <w:rPr>
                <w:rFonts w:eastAsia="標楷體"/>
                <w:b/>
                <w:bCs/>
                <w:kern w:val="0"/>
                <w:szCs w:val="24"/>
              </w:rPr>
            </w:pPr>
            <w:r w:rsidRPr="00CD5B3D">
              <w:rPr>
                <w:rFonts w:eastAsia="標楷體"/>
                <w:bCs/>
                <w:kern w:val="0"/>
                <w:szCs w:val="24"/>
              </w:rPr>
              <w:t>2.</w:t>
            </w:r>
            <w:r w:rsidRPr="00CD5B3D">
              <w:rPr>
                <w:rFonts w:eastAsia="標楷體"/>
                <w:bCs/>
                <w:szCs w:val="24"/>
              </w:rPr>
              <w:t>質性研究法</w:t>
            </w:r>
          </w:p>
          <w:p w14:paraId="23A61760" w14:textId="77777777" w:rsidR="00B40BE6" w:rsidRPr="00CD5B3D" w:rsidRDefault="00B40BE6" w:rsidP="00FD406B">
            <w:pPr>
              <w:adjustRightInd w:val="0"/>
              <w:snapToGrid w:val="0"/>
              <w:ind w:firstLineChars="128" w:firstLine="256"/>
              <w:jc w:val="both"/>
              <w:rPr>
                <w:rFonts w:eastAsia="標楷體"/>
                <w:bCs/>
                <w:sz w:val="20"/>
              </w:rPr>
            </w:pPr>
            <w:r w:rsidRPr="00CD5B3D">
              <w:rPr>
                <w:rFonts w:eastAsia="標楷體"/>
                <w:sz w:val="20"/>
                <w:shd w:val="clear" w:color="auto" w:fill="FFFFFF"/>
              </w:rPr>
              <w:t>Qualitative Research Methodology</w:t>
            </w:r>
          </w:p>
          <w:p w14:paraId="35DB722D"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3.</w:t>
            </w:r>
            <w:r w:rsidRPr="00CD5B3D">
              <w:rPr>
                <w:rFonts w:eastAsia="標楷體"/>
                <w:bCs/>
                <w:szCs w:val="24"/>
              </w:rPr>
              <w:t>行動研究</w:t>
            </w:r>
            <w:r w:rsidRPr="00CD5B3D">
              <w:rPr>
                <w:rFonts w:eastAsia="標楷體"/>
                <w:bCs/>
                <w:szCs w:val="24"/>
              </w:rPr>
              <w:t xml:space="preserve"> </w:t>
            </w:r>
          </w:p>
          <w:p w14:paraId="3EB7F9F2" w14:textId="77777777" w:rsidR="00B40BE6" w:rsidRPr="00CD5B3D" w:rsidRDefault="00B40BE6" w:rsidP="00FD406B">
            <w:pPr>
              <w:adjustRightInd w:val="0"/>
              <w:snapToGrid w:val="0"/>
              <w:jc w:val="both"/>
              <w:rPr>
                <w:rFonts w:eastAsia="標楷體"/>
                <w:bCs/>
                <w:szCs w:val="24"/>
              </w:rPr>
            </w:pPr>
            <w:r w:rsidRPr="00CD5B3D">
              <w:rPr>
                <w:rFonts w:eastAsia="標楷體"/>
                <w:sz w:val="20"/>
                <w:shd w:val="clear" w:color="auto" w:fill="FFFFFF"/>
              </w:rPr>
              <w:t xml:space="preserve">  Action Research</w:t>
            </w:r>
          </w:p>
          <w:p w14:paraId="32FC8B56"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4.</w:t>
            </w:r>
            <w:r w:rsidRPr="00CD5B3D">
              <w:rPr>
                <w:rFonts w:eastAsia="標楷體"/>
                <w:bCs/>
                <w:szCs w:val="24"/>
              </w:rPr>
              <w:t>高級教育統計</w:t>
            </w:r>
          </w:p>
          <w:p w14:paraId="1D7A3497" w14:textId="77777777" w:rsidR="00B40BE6" w:rsidRPr="00CD5B3D" w:rsidRDefault="00B40BE6" w:rsidP="00FD406B">
            <w:pPr>
              <w:adjustRightInd w:val="0"/>
              <w:snapToGrid w:val="0"/>
              <w:jc w:val="both"/>
              <w:rPr>
                <w:rFonts w:eastAsia="標楷體"/>
                <w:sz w:val="20"/>
                <w:shd w:val="clear" w:color="auto" w:fill="FFFFFF"/>
              </w:rPr>
            </w:pPr>
            <w:r w:rsidRPr="00CD5B3D">
              <w:rPr>
                <w:rFonts w:eastAsia="標楷體"/>
                <w:sz w:val="20"/>
                <w:shd w:val="clear" w:color="auto" w:fill="FFFFFF"/>
              </w:rPr>
              <w:t xml:space="preserve">  Advanced Educational Statistics</w:t>
            </w:r>
          </w:p>
          <w:p w14:paraId="7440503B"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5.</w:t>
            </w:r>
            <w:r w:rsidRPr="00CD5B3D">
              <w:rPr>
                <w:rFonts w:eastAsia="標楷體"/>
                <w:bCs/>
                <w:szCs w:val="24"/>
              </w:rPr>
              <w:t>多變量分析</w:t>
            </w:r>
          </w:p>
          <w:p w14:paraId="6252DD4B" w14:textId="77777777" w:rsidR="00B40BE6" w:rsidRPr="00CD5B3D" w:rsidRDefault="00B40BE6" w:rsidP="00FD406B">
            <w:pPr>
              <w:adjustRightInd w:val="0"/>
              <w:snapToGrid w:val="0"/>
              <w:jc w:val="both"/>
              <w:rPr>
                <w:rFonts w:eastAsia="標楷體"/>
                <w:bCs/>
                <w:szCs w:val="24"/>
              </w:rPr>
            </w:pPr>
            <w:r w:rsidRPr="00CD5B3D">
              <w:rPr>
                <w:rFonts w:eastAsia="標楷體"/>
                <w:szCs w:val="24"/>
                <w:shd w:val="clear" w:color="auto" w:fill="FFFFFF"/>
              </w:rPr>
              <w:t xml:space="preserve">  </w:t>
            </w:r>
            <w:r w:rsidRPr="00CD5B3D">
              <w:rPr>
                <w:rFonts w:eastAsia="標楷體"/>
                <w:sz w:val="20"/>
                <w:shd w:val="clear" w:color="auto" w:fill="FFFFFF"/>
              </w:rPr>
              <w:t>Multivariate Analysis</w:t>
            </w:r>
          </w:p>
          <w:p w14:paraId="20007BD0"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6.</w:t>
            </w:r>
            <w:r w:rsidRPr="00CD5B3D">
              <w:rPr>
                <w:rFonts w:eastAsia="標楷體"/>
                <w:bCs/>
                <w:szCs w:val="24"/>
              </w:rPr>
              <w:t>量化研究與設計</w:t>
            </w:r>
          </w:p>
          <w:p w14:paraId="4D9A8DD0" w14:textId="77777777" w:rsidR="00B40BE6" w:rsidRPr="00CD5B3D" w:rsidRDefault="00B40BE6" w:rsidP="00FD406B">
            <w:pPr>
              <w:adjustRightInd w:val="0"/>
              <w:snapToGrid w:val="0"/>
              <w:jc w:val="both"/>
              <w:rPr>
                <w:rFonts w:eastAsia="標楷體"/>
                <w:bCs/>
                <w:szCs w:val="24"/>
              </w:rPr>
            </w:pPr>
            <w:r w:rsidRPr="00CD5B3D">
              <w:rPr>
                <w:rFonts w:eastAsia="標楷體"/>
                <w:szCs w:val="24"/>
                <w:shd w:val="clear" w:color="auto" w:fill="FFFFFF"/>
              </w:rPr>
              <w:t xml:space="preserve">  </w:t>
            </w:r>
            <w:r w:rsidRPr="00CD5B3D">
              <w:rPr>
                <w:rFonts w:eastAsia="標楷體"/>
                <w:sz w:val="20"/>
                <w:shd w:val="clear" w:color="auto" w:fill="FFFFFF"/>
              </w:rPr>
              <w:t>Quantitative Research and Design</w:t>
            </w:r>
          </w:p>
          <w:p w14:paraId="3D3F47B1"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7.</w:t>
            </w:r>
            <w:r w:rsidRPr="00CD5B3D">
              <w:rPr>
                <w:rFonts w:eastAsia="標楷體"/>
                <w:bCs/>
                <w:szCs w:val="24"/>
              </w:rPr>
              <w:t>社會及行為科學專題研究</w:t>
            </w:r>
          </w:p>
          <w:p w14:paraId="3FAE370E" w14:textId="77777777" w:rsidR="00B40BE6" w:rsidRPr="00CD5B3D" w:rsidRDefault="00B40BE6" w:rsidP="00FD406B">
            <w:pPr>
              <w:adjustRightInd w:val="0"/>
              <w:snapToGrid w:val="0"/>
              <w:jc w:val="both"/>
              <w:rPr>
                <w:rFonts w:eastAsia="標楷體"/>
                <w:bCs/>
                <w:szCs w:val="24"/>
              </w:rPr>
            </w:pPr>
            <w:r w:rsidRPr="00CD5B3D">
              <w:rPr>
                <w:rFonts w:eastAsia="標楷體"/>
                <w:szCs w:val="24"/>
                <w:shd w:val="clear" w:color="auto" w:fill="FFFFFF"/>
              </w:rPr>
              <w:t xml:space="preserve"> </w:t>
            </w:r>
            <w:r w:rsidRPr="00CD5B3D">
              <w:rPr>
                <w:rFonts w:eastAsia="標楷體"/>
                <w:sz w:val="20"/>
                <w:shd w:val="clear" w:color="auto" w:fill="FFFFFF"/>
              </w:rPr>
              <w:t xml:space="preserve"> Research of Social and Behavioral Science</w:t>
            </w:r>
          </w:p>
          <w:p w14:paraId="1982E131"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8.</w:t>
            </w:r>
            <w:r w:rsidRPr="00CD5B3D">
              <w:rPr>
                <w:rFonts w:eastAsia="標楷體"/>
                <w:bCs/>
                <w:szCs w:val="24"/>
              </w:rPr>
              <w:t>實驗設計與統計分析</w:t>
            </w:r>
          </w:p>
          <w:p w14:paraId="4D05C4C1" w14:textId="77777777" w:rsidR="00B40BE6" w:rsidRPr="00CD5B3D" w:rsidRDefault="00B40BE6" w:rsidP="00FD406B">
            <w:pPr>
              <w:adjustRightInd w:val="0"/>
              <w:snapToGrid w:val="0"/>
              <w:ind w:leftChars="100" w:left="240"/>
              <w:jc w:val="both"/>
              <w:rPr>
                <w:rFonts w:eastAsia="標楷體"/>
                <w:sz w:val="20"/>
                <w:shd w:val="clear" w:color="auto" w:fill="FFFFFF"/>
              </w:rPr>
            </w:pPr>
            <w:r w:rsidRPr="00CD5B3D">
              <w:rPr>
                <w:rFonts w:eastAsia="標楷體"/>
                <w:sz w:val="20"/>
                <w:shd w:val="clear" w:color="auto" w:fill="FFFFFF"/>
              </w:rPr>
              <w:t>Experimental Design and Statistical Analysis</w:t>
            </w:r>
          </w:p>
          <w:p w14:paraId="715A038A" w14:textId="77777777" w:rsidR="00B40BE6" w:rsidRPr="00CD5B3D" w:rsidRDefault="00B40BE6" w:rsidP="00FD406B">
            <w:pPr>
              <w:adjustRightInd w:val="0"/>
              <w:snapToGrid w:val="0"/>
              <w:ind w:left="357" w:hanging="357"/>
              <w:jc w:val="both"/>
              <w:rPr>
                <w:rFonts w:eastAsia="標楷體"/>
                <w:bCs/>
                <w:szCs w:val="24"/>
              </w:rPr>
            </w:pPr>
            <w:r w:rsidRPr="00CD5B3D">
              <w:rPr>
                <w:rFonts w:eastAsia="標楷體"/>
                <w:bCs/>
                <w:szCs w:val="24"/>
              </w:rPr>
              <w:t>9.</w:t>
            </w:r>
            <w:r w:rsidRPr="00CD5B3D">
              <w:rPr>
                <w:rFonts w:eastAsia="標楷體"/>
                <w:bCs/>
                <w:szCs w:val="24"/>
              </w:rPr>
              <w:t>結構方程模式分析專題研究</w:t>
            </w:r>
          </w:p>
          <w:p w14:paraId="2546C6C3" w14:textId="77777777" w:rsidR="00B40BE6" w:rsidRPr="00CD5B3D" w:rsidRDefault="00B40BE6" w:rsidP="00FD406B">
            <w:pPr>
              <w:adjustRightInd w:val="0"/>
              <w:snapToGrid w:val="0"/>
              <w:ind w:leftChars="100" w:left="240"/>
              <w:jc w:val="both"/>
              <w:rPr>
                <w:rFonts w:eastAsia="標楷體"/>
                <w:sz w:val="20"/>
                <w:shd w:val="clear" w:color="auto" w:fill="FFFFFF"/>
              </w:rPr>
            </w:pPr>
            <w:r w:rsidRPr="00CD5B3D">
              <w:rPr>
                <w:rFonts w:eastAsia="標楷體"/>
                <w:sz w:val="20"/>
                <w:shd w:val="clear" w:color="auto" w:fill="FFFFFF"/>
              </w:rPr>
              <w:t>Special Topics in Structural Equation Modeling Analysis</w:t>
            </w:r>
          </w:p>
          <w:p w14:paraId="2743E39C" w14:textId="77777777" w:rsidR="00B40BE6" w:rsidRPr="00CD5B3D" w:rsidRDefault="00B40BE6" w:rsidP="00FD406B">
            <w:pPr>
              <w:adjustRightInd w:val="0"/>
              <w:snapToGrid w:val="0"/>
              <w:jc w:val="both"/>
              <w:rPr>
                <w:rFonts w:eastAsia="標楷體"/>
                <w:bCs/>
                <w:szCs w:val="24"/>
              </w:rPr>
            </w:pPr>
            <w:r w:rsidRPr="00CD5B3D">
              <w:rPr>
                <w:rFonts w:eastAsia="標楷體" w:hint="eastAsia"/>
                <w:bCs/>
                <w:szCs w:val="24"/>
              </w:rPr>
              <w:t>10.</w:t>
            </w:r>
            <w:r w:rsidRPr="00CD5B3D">
              <w:rPr>
                <w:rFonts w:eastAsia="標楷體" w:hint="eastAsia"/>
                <w:bCs/>
                <w:szCs w:val="24"/>
              </w:rPr>
              <w:t>次級資料研究法</w:t>
            </w:r>
          </w:p>
          <w:p w14:paraId="727F970F" w14:textId="77777777" w:rsidR="00B40BE6" w:rsidRPr="00CD5B3D" w:rsidRDefault="00B40BE6" w:rsidP="00FD406B">
            <w:pPr>
              <w:adjustRightInd w:val="0"/>
              <w:snapToGrid w:val="0"/>
              <w:spacing w:line="260" w:lineRule="exact"/>
              <w:jc w:val="both"/>
              <w:rPr>
                <w:rFonts w:eastAsia="標楷體" w:hint="eastAsia"/>
                <w:b/>
                <w:bCs/>
                <w:kern w:val="0"/>
                <w:szCs w:val="24"/>
              </w:rPr>
            </w:pPr>
            <w:r w:rsidRPr="00CD5B3D">
              <w:rPr>
                <w:rFonts w:eastAsia="標楷體" w:hint="eastAsia"/>
                <w:b/>
                <w:bCs/>
                <w:kern w:val="0"/>
                <w:szCs w:val="24"/>
              </w:rPr>
              <w:t xml:space="preserve">   </w:t>
            </w:r>
            <w:r w:rsidRPr="00CD5B3D">
              <w:rPr>
                <w:rFonts w:eastAsia="標楷體"/>
                <w:sz w:val="20"/>
                <w:shd w:val="clear" w:color="auto" w:fill="FFFFFF"/>
              </w:rPr>
              <w:t>Secondary Data Research</w:t>
            </w:r>
          </w:p>
        </w:tc>
      </w:tr>
      <w:tr w:rsidR="00B40BE6" w:rsidRPr="00CD5B3D" w14:paraId="2B1B4BF0" w14:textId="77777777" w:rsidTr="00FD406B">
        <w:trPr>
          <w:gridAfter w:val="1"/>
          <w:wAfter w:w="10" w:type="dxa"/>
          <w:trHeight w:val="2040"/>
          <w:jc w:val="center"/>
        </w:trPr>
        <w:tc>
          <w:tcPr>
            <w:tcW w:w="1491" w:type="dxa"/>
            <w:gridSpan w:val="2"/>
            <w:shd w:val="clear" w:color="auto" w:fill="auto"/>
            <w:vAlign w:val="center"/>
          </w:tcPr>
          <w:p w14:paraId="72C9A066" w14:textId="77777777" w:rsidR="00B40BE6" w:rsidRPr="00CD5B3D" w:rsidRDefault="00B40BE6" w:rsidP="00FD406B">
            <w:pPr>
              <w:adjustRightInd w:val="0"/>
              <w:snapToGrid w:val="0"/>
              <w:spacing w:line="260" w:lineRule="exact"/>
              <w:jc w:val="center"/>
              <w:rPr>
                <w:rFonts w:eastAsia="標楷體"/>
                <w:b/>
                <w:szCs w:val="24"/>
              </w:rPr>
            </w:pPr>
            <w:r w:rsidRPr="00CD5B3D">
              <w:rPr>
                <w:rFonts w:eastAsia="標楷體"/>
                <w:b/>
                <w:szCs w:val="24"/>
              </w:rPr>
              <w:t>指導教授</w:t>
            </w:r>
          </w:p>
          <w:p w14:paraId="3C1B5374" w14:textId="77777777" w:rsidR="00B40BE6" w:rsidRPr="00CD5B3D" w:rsidRDefault="00B40BE6" w:rsidP="00FD406B">
            <w:pPr>
              <w:adjustRightInd w:val="0"/>
              <w:snapToGrid w:val="0"/>
              <w:spacing w:line="260" w:lineRule="exact"/>
              <w:jc w:val="center"/>
              <w:rPr>
                <w:rFonts w:eastAsia="標楷體"/>
                <w:b/>
                <w:sz w:val="22"/>
                <w:szCs w:val="24"/>
              </w:rPr>
            </w:pPr>
            <w:r w:rsidRPr="00CD5B3D">
              <w:rPr>
                <w:rFonts w:eastAsia="標楷體"/>
                <w:b/>
                <w:szCs w:val="24"/>
              </w:rPr>
              <w:t>指定考科</w:t>
            </w:r>
            <w:r w:rsidRPr="00CD5B3D">
              <w:rPr>
                <w:rFonts w:eastAsia="標楷體"/>
                <w:b/>
                <w:sz w:val="22"/>
                <w:szCs w:val="24"/>
              </w:rPr>
              <w:t>Specific subjects chosen by advisors</w:t>
            </w:r>
          </w:p>
        </w:tc>
        <w:tc>
          <w:tcPr>
            <w:tcW w:w="2337" w:type="dxa"/>
            <w:shd w:val="clear" w:color="auto" w:fill="auto"/>
          </w:tcPr>
          <w:p w14:paraId="7F5D6047" w14:textId="77777777" w:rsidR="00B40BE6" w:rsidRPr="00CD5B3D" w:rsidRDefault="00B40BE6" w:rsidP="00FD406B">
            <w:pPr>
              <w:adjustRightInd w:val="0"/>
              <w:snapToGrid w:val="0"/>
              <w:spacing w:line="260" w:lineRule="exact"/>
              <w:jc w:val="both"/>
              <w:rPr>
                <w:rFonts w:eastAsia="標楷體"/>
                <w:b/>
                <w:sz w:val="20"/>
                <w:u w:val="single"/>
              </w:rPr>
            </w:pPr>
            <w:r w:rsidRPr="00CD5B3D">
              <w:rPr>
                <w:rFonts w:eastAsia="標楷體"/>
                <w:b/>
                <w:sz w:val="20"/>
                <w:u w:val="single"/>
              </w:rPr>
              <w:t>於課程教學領域、人力發展領域等二類課程擇一</w:t>
            </w:r>
          </w:p>
          <w:p w14:paraId="3C438D83" w14:textId="77777777" w:rsidR="00B40BE6" w:rsidRPr="00CD5B3D" w:rsidRDefault="00B40BE6" w:rsidP="00FD406B">
            <w:pPr>
              <w:adjustRightInd w:val="0"/>
              <w:snapToGrid w:val="0"/>
              <w:spacing w:line="260" w:lineRule="exact"/>
              <w:rPr>
                <w:rFonts w:eastAsia="標楷體"/>
                <w:sz w:val="20"/>
              </w:rPr>
            </w:pPr>
            <w:r w:rsidRPr="00CD5B3D">
              <w:rPr>
                <w:rFonts w:eastAsia="標楷體"/>
                <w:sz w:val="20"/>
              </w:rPr>
              <w:t>Choose one from two optional courses</w:t>
            </w:r>
          </w:p>
          <w:p w14:paraId="0698AF0A" w14:textId="77777777" w:rsidR="00B40BE6" w:rsidRPr="00CD5B3D" w:rsidRDefault="00B40BE6" w:rsidP="00FD406B">
            <w:pPr>
              <w:adjustRightInd w:val="0"/>
              <w:snapToGrid w:val="0"/>
              <w:spacing w:line="260" w:lineRule="exact"/>
              <w:ind w:left="160" w:hangingChars="80" w:hanging="160"/>
              <w:rPr>
                <w:rFonts w:eastAsia="標楷體"/>
                <w:sz w:val="20"/>
              </w:rPr>
            </w:pPr>
            <w:r w:rsidRPr="00CD5B3D">
              <w:rPr>
                <w:rFonts w:eastAsia="標楷體"/>
                <w:sz w:val="20"/>
              </w:rPr>
              <w:t>1. Teaching Field Courses</w:t>
            </w:r>
          </w:p>
          <w:p w14:paraId="2A7FBAF2" w14:textId="77777777" w:rsidR="00B40BE6" w:rsidRPr="00CD5B3D" w:rsidRDefault="00B40BE6" w:rsidP="00FD406B">
            <w:pPr>
              <w:pStyle w:val="a3"/>
              <w:adjustRightInd w:val="0"/>
              <w:snapToGrid w:val="0"/>
              <w:spacing w:line="260" w:lineRule="exact"/>
              <w:ind w:left="160" w:hangingChars="80" w:hanging="160"/>
              <w:rPr>
                <w:rFonts w:ascii="Times New Roman" w:eastAsia="標楷體" w:hAnsi="Times New Roman"/>
                <w:sz w:val="20"/>
                <w:szCs w:val="20"/>
              </w:rPr>
            </w:pPr>
            <w:r w:rsidRPr="00CD5B3D">
              <w:rPr>
                <w:rFonts w:ascii="Times New Roman" w:eastAsia="標楷體" w:hAnsi="Times New Roman"/>
                <w:sz w:val="20"/>
                <w:szCs w:val="20"/>
              </w:rPr>
              <w:t>2.Operation and Development Field</w:t>
            </w:r>
          </w:p>
        </w:tc>
        <w:tc>
          <w:tcPr>
            <w:tcW w:w="5810" w:type="dxa"/>
            <w:gridSpan w:val="2"/>
            <w:shd w:val="clear" w:color="auto" w:fill="auto"/>
            <w:vAlign w:val="center"/>
          </w:tcPr>
          <w:p w14:paraId="0133A51E" w14:textId="77777777" w:rsidR="00B40BE6" w:rsidRPr="00CD5B3D" w:rsidRDefault="00B40BE6" w:rsidP="00FD406B">
            <w:pPr>
              <w:adjustRightInd w:val="0"/>
              <w:snapToGrid w:val="0"/>
              <w:spacing w:line="260" w:lineRule="exact"/>
              <w:rPr>
                <w:rFonts w:eastAsia="標楷體"/>
                <w:bCs/>
                <w:szCs w:val="24"/>
              </w:rPr>
            </w:pPr>
            <w:r w:rsidRPr="00CD5B3D">
              <w:rPr>
                <w:rFonts w:eastAsia="標楷體"/>
                <w:bCs/>
                <w:szCs w:val="24"/>
              </w:rPr>
              <w:t>參照博士班課程規劃表</w:t>
            </w:r>
          </w:p>
          <w:p w14:paraId="35522326" w14:textId="77777777" w:rsidR="00B40BE6" w:rsidRPr="00CD5B3D" w:rsidRDefault="00B40BE6" w:rsidP="00FD406B">
            <w:pPr>
              <w:adjustRightInd w:val="0"/>
              <w:snapToGrid w:val="0"/>
              <w:spacing w:line="260" w:lineRule="exact"/>
              <w:rPr>
                <w:rFonts w:eastAsia="標楷體"/>
                <w:bCs/>
                <w:szCs w:val="24"/>
              </w:rPr>
            </w:pPr>
            <w:r w:rsidRPr="00CD5B3D">
              <w:rPr>
                <w:rFonts w:eastAsia="標楷體"/>
                <w:sz w:val="20"/>
                <w:shd w:val="clear" w:color="auto" w:fill="FFFFFF"/>
              </w:rPr>
              <w:t xml:space="preserve">According to doctoral students’ courses </w:t>
            </w:r>
            <w:r w:rsidRPr="00CD5B3D">
              <w:rPr>
                <w:sz w:val="20"/>
              </w:rPr>
              <w:t>timetable</w:t>
            </w:r>
          </w:p>
        </w:tc>
      </w:tr>
    </w:tbl>
    <w:p w14:paraId="3B27D588" w14:textId="77777777" w:rsidR="00DD6F3B" w:rsidRDefault="00DD6F3B"/>
    <w:sectPr w:rsidR="00DD6F3B" w:rsidSect="00B40BE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芫荽">
    <w:panose1 w:val="00000000000000000000"/>
    <w:charset w:val="88"/>
    <w:family w:val="auto"/>
    <w:pitch w:val="variable"/>
    <w:sig w:usb0="E00002FF" w:usb1="6ACFFCFF" w:usb2="00000052"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5E6"/>
    <w:multiLevelType w:val="hybridMultilevel"/>
    <w:tmpl w:val="3C866086"/>
    <w:lvl w:ilvl="0" w:tplc="BF1C4A6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F0325A8"/>
    <w:multiLevelType w:val="hybridMultilevel"/>
    <w:tmpl w:val="FB186CE0"/>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F0360F6"/>
    <w:multiLevelType w:val="hybridMultilevel"/>
    <w:tmpl w:val="985A34EE"/>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6833422"/>
    <w:multiLevelType w:val="hybridMultilevel"/>
    <w:tmpl w:val="93104C9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2C6A2115"/>
    <w:multiLevelType w:val="hybridMultilevel"/>
    <w:tmpl w:val="4240E71A"/>
    <w:lvl w:ilvl="0" w:tplc="8AD69F86">
      <w:start w:val="1"/>
      <w:numFmt w:val="upperLetter"/>
      <w:lvlText w:val="(%1)"/>
      <w:lvlJc w:val="left"/>
      <w:pPr>
        <w:ind w:left="480" w:hanging="360"/>
      </w:pPr>
      <w:rPr>
        <w:rFonts w:hint="default"/>
      </w:rPr>
    </w:lvl>
    <w:lvl w:ilvl="1" w:tplc="84DC4E3E">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2D8469C3"/>
    <w:multiLevelType w:val="hybridMultilevel"/>
    <w:tmpl w:val="8770742E"/>
    <w:lvl w:ilvl="0" w:tplc="04090001">
      <w:start w:val="1"/>
      <w:numFmt w:val="bullet"/>
      <w:lvlText w:val=""/>
      <w:lvlJc w:val="left"/>
      <w:pPr>
        <w:ind w:left="1200" w:hanging="480"/>
      </w:pPr>
      <w:rPr>
        <w:rFonts w:ascii="Wingdings" w:hAnsi="Wingding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98B55D4"/>
    <w:multiLevelType w:val="hybridMultilevel"/>
    <w:tmpl w:val="DCC64A52"/>
    <w:lvl w:ilvl="0" w:tplc="D1B6CF5E">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0416D9"/>
    <w:multiLevelType w:val="hybridMultilevel"/>
    <w:tmpl w:val="00041348"/>
    <w:lvl w:ilvl="0" w:tplc="82E62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8D1A64"/>
    <w:multiLevelType w:val="hybridMultilevel"/>
    <w:tmpl w:val="8D8A8858"/>
    <w:lvl w:ilvl="0" w:tplc="960844DE">
      <w:start w:val="1"/>
      <w:numFmt w:val="taiwaneseCountingThousand"/>
      <w:lvlText w:val="%1、"/>
      <w:lvlJc w:val="left"/>
      <w:pPr>
        <w:tabs>
          <w:tab w:val="num" w:pos="360"/>
        </w:tabs>
        <w:ind w:left="360" w:hanging="360"/>
      </w:pPr>
      <w:rPr>
        <w:rFonts w:hint="eastAsia"/>
      </w:rPr>
    </w:lvl>
    <w:lvl w:ilvl="1" w:tplc="8ABCD04A">
      <w:start w:val="1"/>
      <w:numFmt w:val="decimal"/>
      <w:lvlText w:val="%2."/>
      <w:lvlJc w:val="left"/>
      <w:pPr>
        <w:tabs>
          <w:tab w:val="num" w:pos="900"/>
        </w:tabs>
        <w:ind w:left="900" w:hanging="360"/>
      </w:pPr>
      <w:rPr>
        <w:rFonts w:hint="default"/>
      </w:rPr>
    </w:lvl>
    <w:lvl w:ilvl="2" w:tplc="C02AB782">
      <w:start w:val="1"/>
      <w:numFmt w:val="lowerLetter"/>
      <w:lvlText w:val="(%3)"/>
      <w:lvlJc w:val="left"/>
      <w:pPr>
        <w:tabs>
          <w:tab w:val="num" w:pos="1320"/>
        </w:tabs>
        <w:ind w:left="1320" w:hanging="360"/>
      </w:pPr>
      <w:rPr>
        <w:rFonts w:hint="eastAsia"/>
      </w:rPr>
    </w:lvl>
    <w:lvl w:ilvl="3" w:tplc="F146BD20">
      <w:start w:val="2"/>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032AA2"/>
    <w:multiLevelType w:val="hybridMultilevel"/>
    <w:tmpl w:val="A2E807B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DD1F98"/>
    <w:multiLevelType w:val="hybridMultilevel"/>
    <w:tmpl w:val="23EA54EC"/>
    <w:lvl w:ilvl="0" w:tplc="BF1C4A60">
      <w:start w:val="1"/>
      <w:numFmt w:val="decimal"/>
      <w:lvlText w:val="(%1)."/>
      <w:lvlJc w:val="left"/>
      <w:pPr>
        <w:ind w:left="1200" w:hanging="480"/>
      </w:pPr>
      <w:rPr>
        <w:rFonts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15:restartNumberingAfterBreak="0">
    <w:nsid w:val="5E9304B8"/>
    <w:multiLevelType w:val="hybridMultilevel"/>
    <w:tmpl w:val="792C24CA"/>
    <w:lvl w:ilvl="0" w:tplc="0E50861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725F7DA1"/>
    <w:multiLevelType w:val="hybridMultilevel"/>
    <w:tmpl w:val="636CA4D2"/>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BD60887"/>
    <w:multiLevelType w:val="hybridMultilevel"/>
    <w:tmpl w:val="9242646C"/>
    <w:lvl w:ilvl="0" w:tplc="5D924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B231D"/>
    <w:multiLevelType w:val="hybridMultilevel"/>
    <w:tmpl w:val="824C39AE"/>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9"/>
  </w:num>
  <w:num w:numId="4">
    <w:abstractNumId w:val="13"/>
  </w:num>
  <w:num w:numId="5">
    <w:abstractNumId w:val="4"/>
  </w:num>
  <w:num w:numId="6">
    <w:abstractNumId w:val="7"/>
  </w:num>
  <w:num w:numId="7">
    <w:abstractNumId w:val="14"/>
  </w:num>
  <w:num w:numId="8">
    <w:abstractNumId w:val="5"/>
  </w:num>
  <w:num w:numId="9">
    <w:abstractNumId w:val="3"/>
  </w:num>
  <w:num w:numId="10">
    <w:abstractNumId w:val="10"/>
  </w:num>
  <w:num w:numId="11">
    <w:abstractNumId w:val="12"/>
  </w:num>
  <w:num w:numId="12">
    <w:abstractNumId w:val="0"/>
  </w:num>
  <w:num w:numId="13">
    <w:abstractNumId w:val="11"/>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E6"/>
    <w:rsid w:val="00137FD0"/>
    <w:rsid w:val="00532253"/>
    <w:rsid w:val="006B16E6"/>
    <w:rsid w:val="00814451"/>
    <w:rsid w:val="00AA0284"/>
    <w:rsid w:val="00AC5A59"/>
    <w:rsid w:val="00B40BE6"/>
    <w:rsid w:val="00B955EF"/>
    <w:rsid w:val="00BF0EA5"/>
    <w:rsid w:val="00DD6F3B"/>
    <w:rsid w:val="00ED3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52A701"/>
  <w15:chartTrackingRefBased/>
  <w15:docId w15:val="{39BF00B5-5763-4241-BAC9-E1B3908A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BE6"/>
    <w:pPr>
      <w:widowControl w:val="0"/>
    </w:pPr>
    <w:rPr>
      <w:rFonts w:ascii="Times New Roman" w:eastAsia="芫荽"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40BE6"/>
    <w:pPr>
      <w:ind w:firstLineChars="200" w:firstLine="480"/>
    </w:pPr>
  </w:style>
  <w:style w:type="character" w:customStyle="1" w:styleId="20">
    <w:name w:val="本文縮排 2 字元"/>
    <w:basedOn w:val="a0"/>
    <w:link w:val="2"/>
    <w:rsid w:val="00B40BE6"/>
    <w:rPr>
      <w:rFonts w:ascii="Times New Roman" w:eastAsia="芫荽" w:hAnsi="Times New Roman" w:cs="Times New Roman"/>
      <w:szCs w:val="20"/>
    </w:rPr>
  </w:style>
  <w:style w:type="paragraph" w:styleId="a3">
    <w:name w:val="No Spacing"/>
    <w:uiPriority w:val="1"/>
    <w:qFormat/>
    <w:rsid w:val="00B40BE6"/>
    <w:pPr>
      <w:widowControl w:val="0"/>
    </w:pPr>
    <w:rPr>
      <w:rFonts w:ascii="Calibri" w:eastAsia="新細明體" w:hAnsi="Calibri" w:cs="Times New Roman"/>
    </w:rPr>
  </w:style>
  <w:style w:type="paragraph" w:styleId="a4">
    <w:name w:val="List Paragraph"/>
    <w:basedOn w:val="a"/>
    <w:uiPriority w:val="34"/>
    <w:qFormat/>
    <w:rsid w:val="00B40BE6"/>
    <w:pPr>
      <w:ind w:leftChars="200" w:left="480"/>
    </w:pPr>
  </w:style>
  <w:style w:type="paragraph" w:customStyle="1" w:styleId="test3">
    <w:name w:val="test3"/>
    <w:basedOn w:val="a"/>
    <w:rsid w:val="00AA0284"/>
    <w:pPr>
      <w:adjustRightInd w:val="0"/>
    </w:pPr>
    <w:rPr>
      <w:rFonts w:eastAsia="標楷體"/>
      <w:sz w:val="28"/>
    </w:rPr>
  </w:style>
  <w:style w:type="paragraph" w:styleId="Web">
    <w:name w:val="Normal (Web)"/>
    <w:basedOn w:val="a"/>
    <w:uiPriority w:val="99"/>
    <w:semiHidden/>
    <w:unhideWhenUsed/>
    <w:rsid w:val="00AC5A5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8628">
      <w:bodyDiv w:val="1"/>
      <w:marLeft w:val="0"/>
      <w:marRight w:val="0"/>
      <w:marTop w:val="0"/>
      <w:marBottom w:val="0"/>
      <w:divBdr>
        <w:top w:val="none" w:sz="0" w:space="0" w:color="auto"/>
        <w:left w:val="none" w:sz="0" w:space="0" w:color="auto"/>
        <w:bottom w:val="none" w:sz="0" w:space="0" w:color="auto"/>
        <w:right w:val="none" w:sz="0" w:space="0" w:color="auto"/>
      </w:divBdr>
    </w:div>
    <w:div w:id="449861737">
      <w:bodyDiv w:val="1"/>
      <w:marLeft w:val="0"/>
      <w:marRight w:val="0"/>
      <w:marTop w:val="0"/>
      <w:marBottom w:val="0"/>
      <w:divBdr>
        <w:top w:val="none" w:sz="0" w:space="0" w:color="auto"/>
        <w:left w:val="none" w:sz="0" w:space="0" w:color="auto"/>
        <w:bottom w:val="none" w:sz="0" w:space="0" w:color="auto"/>
        <w:right w:val="none" w:sz="0" w:space="0" w:color="auto"/>
      </w:divBdr>
    </w:div>
    <w:div w:id="531303087">
      <w:bodyDiv w:val="1"/>
      <w:marLeft w:val="0"/>
      <w:marRight w:val="0"/>
      <w:marTop w:val="0"/>
      <w:marBottom w:val="0"/>
      <w:divBdr>
        <w:top w:val="none" w:sz="0" w:space="0" w:color="auto"/>
        <w:left w:val="none" w:sz="0" w:space="0" w:color="auto"/>
        <w:bottom w:val="none" w:sz="0" w:space="0" w:color="auto"/>
        <w:right w:val="none" w:sz="0" w:space="0" w:color="auto"/>
      </w:divBdr>
    </w:div>
    <w:div w:id="5426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4C01-771D-4653-9DE6-00820494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2026-04-22T03:15:00Z</dcterms:created>
  <dcterms:modified xsi:type="dcterms:W3CDTF">2026-04-22T06:32:00Z</dcterms:modified>
</cp:coreProperties>
</file>